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832" w:rsidRDefault="00657832">
      <w:proofErr w:type="spellStart"/>
      <w:r>
        <w:t>Q&amp;A’s</w:t>
      </w:r>
      <w:proofErr w:type="spellEnd"/>
      <w:r>
        <w:t xml:space="preserve"> for audience</w:t>
      </w:r>
    </w:p>
    <w:p w:rsidR="00657832" w:rsidRDefault="00657832" w:rsidP="00657832">
      <w:pPr>
        <w:pStyle w:val="ListParagraph"/>
        <w:numPr>
          <w:ilvl w:val="0"/>
          <w:numId w:val="1"/>
        </w:numPr>
      </w:pPr>
      <w:r>
        <w:t>How many here are with foundations?</w:t>
      </w:r>
    </w:p>
    <w:p w:rsidR="00657832" w:rsidRDefault="00657832" w:rsidP="00657832">
      <w:pPr>
        <w:pStyle w:val="ListParagraph"/>
        <w:numPr>
          <w:ilvl w:val="0"/>
          <w:numId w:val="1"/>
        </w:numPr>
      </w:pPr>
      <w:r>
        <w:t>How many here are investors or represent venture capitalists?</w:t>
      </w:r>
    </w:p>
    <w:p w:rsidR="00657832" w:rsidRDefault="00657832" w:rsidP="00657832">
      <w:pPr>
        <w:pStyle w:val="ListParagraph"/>
        <w:numPr>
          <w:ilvl w:val="0"/>
          <w:numId w:val="1"/>
        </w:numPr>
      </w:pPr>
      <w:r>
        <w:t xml:space="preserve">How many here consider </w:t>
      </w:r>
      <w:proofErr w:type="gramStart"/>
      <w:r>
        <w:t>yourself</w:t>
      </w:r>
      <w:proofErr w:type="gramEnd"/>
      <w:r>
        <w:t xml:space="preserve"> media producers?  </w:t>
      </w:r>
    </w:p>
    <w:p w:rsidR="00183251" w:rsidRDefault="00657832" w:rsidP="00657832">
      <w:pPr>
        <w:pStyle w:val="ListParagraph"/>
        <w:numPr>
          <w:ilvl w:val="0"/>
          <w:numId w:val="1"/>
        </w:numPr>
      </w:pPr>
      <w:r>
        <w:t xml:space="preserve">Who here has a blog? Tweets?  </w:t>
      </w:r>
    </w:p>
    <w:p w:rsidR="00183251" w:rsidRDefault="00183251" w:rsidP="00183251"/>
    <w:p w:rsidR="00CB1480" w:rsidRDefault="00CB1480" w:rsidP="00183251">
      <w:r>
        <w:t>Major Takeaway:</w:t>
      </w:r>
    </w:p>
    <w:p w:rsidR="00CB1480" w:rsidRDefault="00CB1480" w:rsidP="00183251">
      <w:r>
        <w:t>Investment in a few major areas:</w:t>
      </w:r>
    </w:p>
    <w:p w:rsidR="00CB1480" w:rsidRDefault="00CB1480" w:rsidP="00CB1480">
      <w:pPr>
        <w:pStyle w:val="ListParagraph"/>
        <w:numPr>
          <w:ilvl w:val="0"/>
          <w:numId w:val="5"/>
        </w:numPr>
      </w:pPr>
      <w:r>
        <w:t>Experimentation</w:t>
      </w:r>
      <w:r w:rsidR="000B686C">
        <w:t xml:space="preserve">: So  fundamental </w:t>
      </w:r>
    </w:p>
    <w:p w:rsidR="00CB1480" w:rsidRDefault="00CB1480" w:rsidP="00CB1480">
      <w:pPr>
        <w:pStyle w:val="ListParagraph"/>
        <w:numPr>
          <w:ilvl w:val="0"/>
          <w:numId w:val="5"/>
        </w:numPr>
      </w:pPr>
      <w:r>
        <w:t>Reporting + community engagement models</w:t>
      </w:r>
    </w:p>
    <w:p w:rsidR="00183251" w:rsidRDefault="00CB1480" w:rsidP="00CB1480">
      <w:pPr>
        <w:pStyle w:val="ListParagraph"/>
        <w:numPr>
          <w:ilvl w:val="0"/>
          <w:numId w:val="5"/>
        </w:numPr>
      </w:pPr>
      <w:r>
        <w:t>Staffing: training for more robust understanding of how to operate in online environment and more technology//programmers to help build more collaborative</w:t>
      </w:r>
    </w:p>
    <w:p w:rsidR="00183251" w:rsidRDefault="00183251" w:rsidP="00183251"/>
    <w:p w:rsidR="00183251" w:rsidRPr="00183251" w:rsidRDefault="00183251" w:rsidP="00183251">
      <w:r w:rsidRPr="00183251">
        <w:t xml:space="preserve">In fall 2009, The Media Consortium completed a </w:t>
      </w:r>
      <w:proofErr w:type="gramStart"/>
      <w:r w:rsidRPr="00183251">
        <w:t>year-long</w:t>
      </w:r>
      <w:proofErr w:type="gramEnd"/>
      <w:r w:rsidRPr="00183251">
        <w:t xml:space="preserve"> study that was born out of a desire to change the game for media consortium members and help us become the shapers of tomorrow’s media—moving from an organization that provides support in a crisis to one that helps members lead in the future. </w:t>
      </w:r>
    </w:p>
    <w:p w:rsidR="00183251" w:rsidRPr="00183251" w:rsidRDefault="00183251" w:rsidP="00183251">
      <w:r w:rsidRPr="00183251">
        <w:t>As traditional business and editorial models melt away, new innovations are rapidly reforming journalism. As traditional business and editorial models melt away, new innovations are rapidly reforming journalism. The question is (CLICK).</w:t>
      </w:r>
    </w:p>
    <w:p w:rsidR="00183251" w:rsidRDefault="00183251" w:rsidP="00183251"/>
    <w:p w:rsidR="00183251" w:rsidRPr="00183251" w:rsidRDefault="00183251" w:rsidP="00183251">
      <w:r w:rsidRPr="00183251">
        <w:t>Can media producers adapt and lead, or will they disappear as we move out of journalism’s Ice Age?</w:t>
      </w:r>
    </w:p>
    <w:p w:rsidR="00183251" w:rsidRDefault="00183251" w:rsidP="00183251"/>
    <w:p w:rsidR="00183251" w:rsidRDefault="00183251" w:rsidP="00183251">
      <w:r w:rsidRPr="00183251">
        <w:t xml:space="preserve">In The Big Thaw, we lay out four interlocked areas that we must navigate through as we look to identify how to evolve in this new environment. </w:t>
      </w:r>
    </w:p>
    <w:p w:rsidR="00183251" w:rsidRDefault="00183251" w:rsidP="00183251">
      <w:r w:rsidRPr="00183251">
        <w:drawing>
          <wp:inline distT="0" distB="0" distL="0" distR="0">
            <wp:extent cx="2108835" cy="2885440"/>
            <wp:effectExtent l="0" t="0" r="0" b="0"/>
            <wp:docPr id="1" name="P 2"/>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pic:cNvPicPr>
                  </pic:nvPicPr>
                  <pic:blipFill>
                    <a:blip r:embed="rId5"/>
                    <a:srcRect/>
                    <a:stretch>
                      <a:fillRect/>
                    </a:stretch>
                  </pic:blipFill>
                  <pic:spPr bwMode="auto">
                    <a:xfrm>
                      <a:off x="0" y="0"/>
                      <a:ext cx="2110853" cy="2888201"/>
                    </a:xfrm>
                    <a:prstGeom prst="rect">
                      <a:avLst/>
                    </a:prstGeom>
                    <a:noFill/>
                    <a:ln w="9525">
                      <a:noFill/>
                      <a:miter lim="800000"/>
                      <a:headEnd/>
                      <a:tailEnd/>
                    </a:ln>
                  </pic:spPr>
                </pic:pic>
              </a:graphicData>
            </a:graphic>
          </wp:inline>
        </w:drawing>
      </w:r>
      <w:r w:rsidRPr="00183251">
        <w:t xml:space="preserve"> </w:t>
      </w:r>
      <w:r w:rsidRPr="00183251">
        <w:drawing>
          <wp:inline distT="0" distB="0" distL="0" distR="0">
            <wp:extent cx="3709035" cy="1513840"/>
            <wp:effectExtent l="0" t="0" r="0" b="0"/>
            <wp:docPr id="13" name="P 3"/>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pic:cNvPicPr>
                  </pic:nvPicPr>
                  <pic:blipFill>
                    <a:blip r:embed="rId6"/>
                    <a:srcRect/>
                    <a:stretch>
                      <a:fillRect/>
                    </a:stretch>
                  </pic:blipFill>
                  <pic:spPr bwMode="auto">
                    <a:xfrm>
                      <a:off x="0" y="0"/>
                      <a:ext cx="3717600" cy="1517336"/>
                    </a:xfrm>
                    <a:prstGeom prst="rect">
                      <a:avLst/>
                    </a:prstGeom>
                    <a:noFill/>
                    <a:ln w="9525">
                      <a:noFill/>
                      <a:miter lim="800000"/>
                      <a:headEnd/>
                      <a:tailEnd/>
                    </a:ln>
                  </pic:spPr>
                </pic:pic>
              </a:graphicData>
            </a:graphic>
          </wp:inline>
        </w:drawing>
      </w:r>
    </w:p>
    <w:p w:rsidR="00183251" w:rsidRDefault="00183251" w:rsidP="00183251"/>
    <w:p w:rsidR="00183251" w:rsidRDefault="00183251" w:rsidP="00183251"/>
    <w:p w:rsidR="00183251" w:rsidRDefault="00183251" w:rsidP="00183251">
      <w:r>
        <w:t>The Big Thaw had 4 major recommendations:</w:t>
      </w:r>
    </w:p>
    <w:p w:rsidR="00183251" w:rsidRDefault="00183251" w:rsidP="00183251">
      <w:r w:rsidRPr="00183251">
        <w:drawing>
          <wp:inline distT="0" distB="0" distL="0" distR="0">
            <wp:extent cx="5652135" cy="1602740"/>
            <wp:effectExtent l="0" t="0" r="0" b="0"/>
            <wp:docPr id="17" name="O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578225" cy="1735138"/>
                      <a:chOff x="5668963" y="1327150"/>
                      <a:chExt cx="3578225" cy="1735138"/>
                    </a:xfrm>
                  </a:grpSpPr>
                  <a:sp>
                    <a:nvSpPr>
                      <a:cNvPr id="11" name="Rectangle 13"/>
                      <a:cNvSpPr>
                        <a:spLocks/>
                      </a:cNvSpPr>
                    </a:nvSpPr>
                    <a:spPr bwMode="auto">
                      <a:xfrm>
                        <a:off x="5668963" y="1327150"/>
                        <a:ext cx="3308350" cy="409575"/>
                      </a:xfrm>
                      <a:prstGeom prst="rect">
                        <a:avLst/>
                      </a:prstGeom>
                      <a:noFill/>
                      <a:ln w="12700">
                        <a:noFill/>
                        <a:miter lim="800000"/>
                        <a:headEnd/>
                        <a:tailEnd/>
                      </a:ln>
                    </a:spPr>
                    <a:txSp>
                      <a:txBody>
                        <a:bodyPr lIns="0" tIns="0" rIns="28447" bIns="0">
                          <a:prstTxWarp prst="textNoShape">
                            <a:avLst/>
                          </a:prstTxWarp>
                        </a:bodyP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5pPr>
                          <a:lvl6pPr marL="2286000" algn="l" defTabSz="457200" rtl="0" eaLnBrk="1" latinLnBrk="0" hangingPunct="1">
                            <a:defRPr kern="1200">
                              <a:solidFill>
                                <a:schemeClr val="tx1"/>
                              </a:solidFill>
                              <a:latin typeface="Arial" charset="0"/>
                              <a:ea typeface="ＭＳ Ｐゴシック" charset="-128"/>
                              <a:cs typeface="ＭＳ Ｐゴシック" charset="-128"/>
                            </a:defRPr>
                          </a:lvl6pPr>
                          <a:lvl7pPr marL="2743200" algn="l" defTabSz="457200" rtl="0" eaLnBrk="1" latinLnBrk="0" hangingPunct="1">
                            <a:defRPr kern="1200">
                              <a:solidFill>
                                <a:schemeClr val="tx1"/>
                              </a:solidFill>
                              <a:latin typeface="Arial" charset="0"/>
                              <a:ea typeface="ＭＳ Ｐゴシック" charset="-128"/>
                              <a:cs typeface="ＭＳ Ｐゴシック" charset="-128"/>
                            </a:defRPr>
                          </a:lvl7pPr>
                          <a:lvl8pPr marL="3200400" algn="l" defTabSz="457200" rtl="0" eaLnBrk="1" latinLnBrk="0" hangingPunct="1">
                            <a:defRPr kern="1200">
                              <a:solidFill>
                                <a:schemeClr val="tx1"/>
                              </a:solidFill>
                              <a:latin typeface="Arial" charset="0"/>
                              <a:ea typeface="ＭＳ Ｐゴシック" charset="-128"/>
                              <a:cs typeface="ＭＳ Ｐゴシック" charset="-128"/>
                            </a:defRPr>
                          </a:lvl8pPr>
                          <a:lvl9pPr marL="3657600" algn="l" defTabSz="457200" rtl="0" eaLnBrk="1" latinLnBrk="0" hangingPunct="1">
                            <a:defRPr kern="1200">
                              <a:solidFill>
                                <a:schemeClr val="tx1"/>
                              </a:solidFill>
                              <a:latin typeface="Arial" charset="0"/>
                              <a:ea typeface="ＭＳ Ｐゴシック" charset="-128"/>
                              <a:cs typeface="ＭＳ Ｐゴシック" charset="-128"/>
                            </a:defRPr>
                          </a:lvl9pPr>
                        </a:lstStyle>
                        <a:p>
                          <a:pPr marL="26988">
                            <a:lnSpc>
                              <a:spcPct val="85000"/>
                            </a:lnSpc>
                            <a:spcBef>
                              <a:spcPts val="275"/>
                            </a:spcBef>
                            <a:tabLst>
                              <a:tab pos="117475" algn="l"/>
                              <a:tab pos="200025" algn="l"/>
                              <a:tab pos="277813" algn="l"/>
                            </a:tabLst>
                          </a:pPr>
                          <a:r>
                            <a:rPr lang="en-US" sz="2100" b="1">
                              <a:solidFill>
                                <a:srgbClr val="FF6600"/>
                              </a:solidFill>
                              <a:latin typeface="Tw Cen MT Condensed" charset="0"/>
                              <a:ea typeface="Arial" charset="0"/>
                              <a:cs typeface="Arial" charset="0"/>
                            </a:rPr>
                            <a:t>CHANGE INTERNALLY</a:t>
                          </a:r>
                          <a:endParaRPr lang="en-US" sz="2100">
                            <a:solidFill>
                              <a:srgbClr val="FF6600"/>
                            </a:solidFill>
                            <a:latin typeface="Tw Cen MT Condensed" charset="0"/>
                            <a:ea typeface="Arial" charset="0"/>
                            <a:cs typeface="Arial" charset="0"/>
                          </a:endParaRPr>
                        </a:p>
                      </a:txBody>
                      <a:useSpRect/>
                    </a:txSp>
                  </a:sp>
                  <a:sp>
                    <a:nvSpPr>
                      <a:cNvPr id="12" name="Rectangle 11"/>
                      <a:cNvSpPr>
                        <a:spLocks noChangeArrowheads="1"/>
                      </a:cNvSpPr>
                    </a:nvSpPr>
                    <a:spPr bwMode="auto">
                      <a:xfrm>
                        <a:off x="6361113" y="1966913"/>
                        <a:ext cx="2886075" cy="1095375"/>
                      </a:xfrm>
                      <a:prstGeom prst="rect">
                        <a:avLst/>
                      </a:prstGeom>
                      <a:noFill/>
                      <a:ln w="9525">
                        <a:noFill/>
                        <a:miter lim="800000"/>
                        <a:headEnd/>
                        <a:tailEnd/>
                      </a:ln>
                    </a:spPr>
                    <a:txSp>
                      <a:txBody>
                        <a:bodyPr lIns="64008" tIns="32004" rIns="64008" bIns="32004">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5pPr>
                          <a:lvl6pPr marL="2286000" algn="l" defTabSz="457200" rtl="0" eaLnBrk="1" latinLnBrk="0" hangingPunct="1">
                            <a:defRPr kern="1200">
                              <a:solidFill>
                                <a:schemeClr val="tx1"/>
                              </a:solidFill>
                              <a:latin typeface="Arial" charset="0"/>
                              <a:ea typeface="ＭＳ Ｐゴシック" charset="-128"/>
                              <a:cs typeface="ＭＳ Ｐゴシック" charset="-128"/>
                            </a:defRPr>
                          </a:lvl6pPr>
                          <a:lvl7pPr marL="2743200" algn="l" defTabSz="457200" rtl="0" eaLnBrk="1" latinLnBrk="0" hangingPunct="1">
                            <a:defRPr kern="1200">
                              <a:solidFill>
                                <a:schemeClr val="tx1"/>
                              </a:solidFill>
                              <a:latin typeface="Arial" charset="0"/>
                              <a:ea typeface="ＭＳ Ｐゴシック" charset="-128"/>
                              <a:cs typeface="ＭＳ Ｐゴシック" charset="-128"/>
                            </a:defRPr>
                          </a:lvl7pPr>
                          <a:lvl8pPr marL="3200400" algn="l" defTabSz="457200" rtl="0" eaLnBrk="1" latinLnBrk="0" hangingPunct="1">
                            <a:defRPr kern="1200">
                              <a:solidFill>
                                <a:schemeClr val="tx1"/>
                              </a:solidFill>
                              <a:latin typeface="Arial" charset="0"/>
                              <a:ea typeface="ＭＳ Ｐゴシック" charset="-128"/>
                              <a:cs typeface="ＭＳ Ｐゴシック" charset="-128"/>
                            </a:defRPr>
                          </a:lvl8pPr>
                          <a:lvl9pPr marL="3657600" algn="l" defTabSz="457200" rtl="0" eaLnBrk="1" latinLnBrk="0" hangingPunct="1">
                            <a:defRPr kern="1200">
                              <a:solidFill>
                                <a:schemeClr val="tx1"/>
                              </a:solidFill>
                              <a:latin typeface="Arial" charset="0"/>
                              <a:ea typeface="ＭＳ Ｐゴシック" charset="-128"/>
                              <a:cs typeface="ＭＳ Ｐゴシック" charset="-128"/>
                            </a:defRPr>
                          </a:lvl9pPr>
                        </a:lstStyle>
                        <a:p>
                          <a:pPr>
                            <a:lnSpc>
                              <a:spcPts val="2238"/>
                            </a:lnSpc>
                          </a:pPr>
                          <a:r>
                            <a:rPr lang="en-US" sz="2200" b="1" i="1">
                              <a:latin typeface="Tw Cen MT" charset="0"/>
                              <a:ea typeface="Tw Cen MT" charset="0"/>
                              <a:cs typeface="Tw Cen MT" charset="0"/>
                            </a:rPr>
                            <a:t>New models will </a:t>
                          </a:r>
                          <a:br>
                            <a:rPr lang="en-US" sz="2200" b="1" i="1">
                              <a:latin typeface="Tw Cen MT" charset="0"/>
                              <a:ea typeface="Tw Cen MT" charset="0"/>
                              <a:cs typeface="Tw Cen MT" charset="0"/>
                            </a:rPr>
                          </a:br>
                          <a:r>
                            <a:rPr lang="en-US" sz="2200" b="1" i="1">
                              <a:latin typeface="Tw Cen MT" charset="0"/>
                              <a:ea typeface="Tw Cen MT" charset="0"/>
                              <a:cs typeface="Tw Cen MT" charset="0"/>
                            </a:rPr>
                            <a:t>most likely come from new players.</a:t>
                          </a:r>
                          <a:r>
                            <a:rPr lang="en-US" sz="2200" b="1">
                              <a:latin typeface="Tw Cen MT" charset="0"/>
                              <a:ea typeface="Tw Cen MT" charset="0"/>
                              <a:cs typeface="Tw Cen MT" charset="0"/>
                            </a:rPr>
                            <a:t> </a:t>
                          </a:r>
                        </a:p>
                        <a:p>
                          <a:endParaRPr lang="en-US" sz="1200">
                            <a:latin typeface="Tw Cen MT" charset="0"/>
                            <a:ea typeface="Tw Cen MT" charset="0"/>
                            <a:cs typeface="Tw Cen MT" charset="0"/>
                          </a:endParaRPr>
                        </a:p>
                      </a:txBody>
                      <a:useSpRect/>
                    </a:txSp>
                  </a:sp>
                </lc:lockedCanvas>
              </a:graphicData>
            </a:graphic>
          </wp:inline>
        </w:drawing>
      </w:r>
    </w:p>
    <w:p w:rsidR="00183251" w:rsidRDefault="00183251" w:rsidP="00183251"/>
    <w:p w:rsidR="00183251" w:rsidRDefault="00183251" w:rsidP="00183251">
      <w:r w:rsidRPr="00183251">
        <w:drawing>
          <wp:inline distT="0" distB="0" distL="0" distR="0">
            <wp:extent cx="5766435" cy="1945640"/>
            <wp:effectExtent l="0" t="0" r="0" b="0"/>
            <wp:docPr id="20" name="O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67162" cy="1776413"/>
                      <a:chOff x="5668963" y="3702050"/>
                      <a:chExt cx="3967162" cy="1776413"/>
                    </a:xfrm>
                  </a:grpSpPr>
                  <a:sp>
                    <a:nvSpPr>
                      <a:cNvPr id="14" name="Rectangle 13"/>
                      <a:cNvSpPr>
                        <a:spLocks/>
                      </a:cNvSpPr>
                    </a:nvSpPr>
                    <a:spPr bwMode="auto">
                      <a:xfrm>
                        <a:off x="6327775" y="3702050"/>
                        <a:ext cx="3308350" cy="411163"/>
                      </a:xfrm>
                      <a:prstGeom prst="rect">
                        <a:avLst/>
                      </a:prstGeom>
                      <a:noFill/>
                      <a:ln w="12700">
                        <a:noFill/>
                        <a:miter lim="800000"/>
                        <a:headEnd/>
                        <a:tailEnd/>
                      </a:ln>
                    </a:spPr>
                    <a:txSp>
                      <a:txBody>
                        <a:bodyPr lIns="0" tIns="0" rIns="28447" bIns="0">
                          <a:prstTxWarp prst="textNoShape">
                            <a:avLst/>
                          </a:prstTxWarp>
                        </a:bodyP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5pPr>
                          <a:lvl6pPr marL="2286000" algn="l" defTabSz="457200" rtl="0" eaLnBrk="1" latinLnBrk="0" hangingPunct="1">
                            <a:defRPr kern="1200">
                              <a:solidFill>
                                <a:schemeClr val="tx1"/>
                              </a:solidFill>
                              <a:latin typeface="Arial" charset="0"/>
                              <a:ea typeface="ＭＳ Ｐゴシック" charset="-128"/>
                              <a:cs typeface="ＭＳ Ｐゴシック" charset="-128"/>
                            </a:defRPr>
                          </a:lvl6pPr>
                          <a:lvl7pPr marL="2743200" algn="l" defTabSz="457200" rtl="0" eaLnBrk="1" latinLnBrk="0" hangingPunct="1">
                            <a:defRPr kern="1200">
                              <a:solidFill>
                                <a:schemeClr val="tx1"/>
                              </a:solidFill>
                              <a:latin typeface="Arial" charset="0"/>
                              <a:ea typeface="ＭＳ Ｐゴシック" charset="-128"/>
                              <a:cs typeface="ＭＳ Ｐゴシック" charset="-128"/>
                            </a:defRPr>
                          </a:lvl7pPr>
                          <a:lvl8pPr marL="3200400" algn="l" defTabSz="457200" rtl="0" eaLnBrk="1" latinLnBrk="0" hangingPunct="1">
                            <a:defRPr kern="1200">
                              <a:solidFill>
                                <a:schemeClr val="tx1"/>
                              </a:solidFill>
                              <a:latin typeface="Arial" charset="0"/>
                              <a:ea typeface="ＭＳ Ｐゴシック" charset="-128"/>
                              <a:cs typeface="ＭＳ Ｐゴシック" charset="-128"/>
                            </a:defRPr>
                          </a:lvl8pPr>
                          <a:lvl9pPr marL="3657600" algn="l" defTabSz="457200" rtl="0" eaLnBrk="1" latinLnBrk="0" hangingPunct="1">
                            <a:defRPr kern="1200">
                              <a:solidFill>
                                <a:schemeClr val="tx1"/>
                              </a:solidFill>
                              <a:latin typeface="Arial" charset="0"/>
                              <a:ea typeface="ＭＳ Ｐゴシック" charset="-128"/>
                              <a:cs typeface="ＭＳ Ｐゴシック" charset="-128"/>
                            </a:defRPr>
                          </a:lvl9pPr>
                        </a:lstStyle>
                        <a:p>
                          <a:pPr marL="26988">
                            <a:lnSpc>
                              <a:spcPct val="85000"/>
                            </a:lnSpc>
                            <a:spcBef>
                              <a:spcPts val="275"/>
                            </a:spcBef>
                            <a:tabLst>
                              <a:tab pos="117475" algn="l"/>
                              <a:tab pos="200025" algn="l"/>
                              <a:tab pos="277813" algn="l"/>
                            </a:tabLst>
                          </a:pPr>
                          <a:r>
                            <a:rPr lang="en-US" sz="2100" b="1">
                              <a:solidFill>
                                <a:srgbClr val="FF6600"/>
                              </a:solidFill>
                              <a:latin typeface="Tw Cen MT Condensed" charset="0"/>
                              <a:ea typeface="Arial" charset="0"/>
                              <a:cs typeface="Arial" charset="0"/>
                            </a:rPr>
                            <a:t>INCREASE EXPERIMENTATION</a:t>
                          </a:r>
                          <a:endParaRPr lang="en-US" sz="2100">
                            <a:solidFill>
                              <a:srgbClr val="FF6600"/>
                            </a:solidFill>
                            <a:latin typeface="Tw Cen MT Condensed" charset="0"/>
                            <a:ea typeface="Arial" charset="0"/>
                            <a:cs typeface="Arial" charset="0"/>
                          </a:endParaRPr>
                        </a:p>
                      </a:txBody>
                      <a:useSpRect/>
                    </a:txSp>
                  </a:sp>
                  <a:sp>
                    <a:nvSpPr>
                      <a:cNvPr id="15" name="Rectangle 14"/>
                      <a:cNvSpPr>
                        <a:spLocks noChangeArrowheads="1"/>
                      </a:cNvSpPr>
                    </a:nvSpPr>
                    <a:spPr bwMode="auto">
                      <a:xfrm>
                        <a:off x="5668963" y="4551363"/>
                        <a:ext cx="3475037" cy="927100"/>
                      </a:xfrm>
                      <a:prstGeom prst="rect">
                        <a:avLst/>
                      </a:prstGeom>
                      <a:noFill/>
                      <a:ln w="9525">
                        <a:noFill/>
                        <a:miter lim="800000"/>
                        <a:headEnd/>
                        <a:tailEnd/>
                      </a:ln>
                    </a:spPr>
                    <a:txSp>
                      <a:txBody>
                        <a:bodyPr lIns="64008" tIns="32004" rIns="64008" bIns="32004">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5pPr>
                          <a:lvl6pPr marL="2286000" algn="l" defTabSz="457200" rtl="0" eaLnBrk="1" latinLnBrk="0" hangingPunct="1">
                            <a:defRPr kern="1200">
                              <a:solidFill>
                                <a:schemeClr val="tx1"/>
                              </a:solidFill>
                              <a:latin typeface="Arial" charset="0"/>
                              <a:ea typeface="ＭＳ Ｐゴシック" charset="-128"/>
                              <a:cs typeface="ＭＳ Ｐゴシック" charset="-128"/>
                            </a:defRPr>
                          </a:lvl6pPr>
                          <a:lvl7pPr marL="2743200" algn="l" defTabSz="457200" rtl="0" eaLnBrk="1" latinLnBrk="0" hangingPunct="1">
                            <a:defRPr kern="1200">
                              <a:solidFill>
                                <a:schemeClr val="tx1"/>
                              </a:solidFill>
                              <a:latin typeface="Arial" charset="0"/>
                              <a:ea typeface="ＭＳ Ｐゴシック" charset="-128"/>
                              <a:cs typeface="ＭＳ Ｐゴシック" charset="-128"/>
                            </a:defRPr>
                          </a:lvl7pPr>
                          <a:lvl8pPr marL="3200400" algn="l" defTabSz="457200" rtl="0" eaLnBrk="1" latinLnBrk="0" hangingPunct="1">
                            <a:defRPr kern="1200">
                              <a:solidFill>
                                <a:schemeClr val="tx1"/>
                              </a:solidFill>
                              <a:latin typeface="Arial" charset="0"/>
                              <a:ea typeface="ＭＳ Ｐゴシック" charset="-128"/>
                              <a:cs typeface="ＭＳ Ｐゴシック" charset="-128"/>
                            </a:defRPr>
                          </a:lvl8pPr>
                          <a:lvl9pPr marL="3657600" algn="l" defTabSz="457200" rtl="0" eaLnBrk="1" latinLnBrk="0" hangingPunct="1">
                            <a:defRPr kern="1200">
                              <a:solidFill>
                                <a:schemeClr val="tx1"/>
                              </a:solidFill>
                              <a:latin typeface="Arial" charset="0"/>
                              <a:ea typeface="ＭＳ Ｐゴシック" charset="-128"/>
                              <a:cs typeface="ＭＳ Ｐゴシック" charset="-128"/>
                            </a:defRPr>
                          </a:lvl9pPr>
                        </a:lstStyle>
                        <a:p>
                          <a:r>
                            <a:rPr lang="en-US" sz="2200" b="1" i="1">
                              <a:latin typeface="Tw Cen MT" charset="0"/>
                              <a:ea typeface="Tw Cen MT" charset="0"/>
                              <a:cs typeface="Tw Cen MT" charset="0"/>
                            </a:rPr>
                            <a:t>Greater </a:t>
                          </a:r>
                        </a:p>
                        <a:p>
                          <a:r>
                            <a:rPr lang="en-US" sz="2200" b="1" i="1">
                              <a:latin typeface="Tw Cen MT" charset="0"/>
                              <a:ea typeface="Tw Cen MT" charset="0"/>
                              <a:cs typeface="Tw Cen MT" charset="0"/>
                            </a:rPr>
                            <a:t>Experimentation will win.</a:t>
                          </a:r>
                          <a:r>
                            <a:rPr lang="en-US" sz="2200" b="1">
                              <a:latin typeface="Tw Cen MT" charset="0"/>
                              <a:ea typeface="Tw Cen MT" charset="0"/>
                              <a:cs typeface="Tw Cen MT" charset="0"/>
                            </a:rPr>
                            <a:t> </a:t>
                          </a:r>
                        </a:p>
                        <a:p>
                          <a:endParaRPr lang="en-US" sz="1200">
                            <a:latin typeface="Tw Cen MT" charset="0"/>
                            <a:ea typeface="Tw Cen MT" charset="0"/>
                            <a:cs typeface="Tw Cen MT" charset="0"/>
                          </a:endParaRPr>
                        </a:p>
                      </a:txBody>
                      <a:useSpRect/>
                    </a:txSp>
                  </a:sp>
                </lc:lockedCanvas>
              </a:graphicData>
            </a:graphic>
          </wp:inline>
        </w:drawing>
      </w:r>
      <w:r w:rsidRPr="00183251">
        <w:drawing>
          <wp:inline distT="0" distB="0" distL="0" distR="0">
            <wp:extent cx="5652135" cy="2225040"/>
            <wp:effectExtent l="0" t="0" r="0" b="0"/>
            <wp:docPr id="21" name="O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529012" cy="1931987"/>
                      <a:chOff x="223838" y="3659188"/>
                      <a:chExt cx="3529012" cy="1931987"/>
                    </a:xfrm>
                  </a:grpSpPr>
                  <a:sp>
                    <a:nvSpPr>
                      <a:cNvPr id="16" name="Rectangle 13"/>
                      <a:cNvSpPr>
                        <a:spLocks/>
                      </a:cNvSpPr>
                    </a:nvSpPr>
                    <a:spPr bwMode="auto">
                      <a:xfrm>
                        <a:off x="254000" y="3659188"/>
                        <a:ext cx="3030538" cy="687387"/>
                      </a:xfrm>
                      <a:prstGeom prst="rect">
                        <a:avLst/>
                      </a:prstGeom>
                      <a:noFill/>
                      <a:ln w="12700">
                        <a:noFill/>
                        <a:miter lim="800000"/>
                        <a:headEnd/>
                        <a:tailEnd/>
                      </a:ln>
                    </a:spPr>
                    <a:txSp>
                      <a:txBody>
                        <a:bodyPr lIns="0" tIns="0" rIns="28447" bIns="0">
                          <a:prstTxWarp prst="textNoShape">
                            <a:avLst/>
                          </a:prstTxWarp>
                        </a:bodyP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5pPr>
                          <a:lvl6pPr marL="2286000" algn="l" defTabSz="457200" rtl="0" eaLnBrk="1" latinLnBrk="0" hangingPunct="1">
                            <a:defRPr kern="1200">
                              <a:solidFill>
                                <a:schemeClr val="tx1"/>
                              </a:solidFill>
                              <a:latin typeface="Arial" charset="0"/>
                              <a:ea typeface="ＭＳ Ｐゴシック" charset="-128"/>
                              <a:cs typeface="ＭＳ Ｐゴシック" charset="-128"/>
                            </a:defRPr>
                          </a:lvl6pPr>
                          <a:lvl7pPr marL="2743200" algn="l" defTabSz="457200" rtl="0" eaLnBrk="1" latinLnBrk="0" hangingPunct="1">
                            <a:defRPr kern="1200">
                              <a:solidFill>
                                <a:schemeClr val="tx1"/>
                              </a:solidFill>
                              <a:latin typeface="Arial" charset="0"/>
                              <a:ea typeface="ＭＳ Ｐゴシック" charset="-128"/>
                              <a:cs typeface="ＭＳ Ｐゴシック" charset="-128"/>
                            </a:defRPr>
                          </a:lvl7pPr>
                          <a:lvl8pPr marL="3200400" algn="l" defTabSz="457200" rtl="0" eaLnBrk="1" latinLnBrk="0" hangingPunct="1">
                            <a:defRPr kern="1200">
                              <a:solidFill>
                                <a:schemeClr val="tx1"/>
                              </a:solidFill>
                              <a:latin typeface="Arial" charset="0"/>
                              <a:ea typeface="ＭＳ Ｐゴシック" charset="-128"/>
                              <a:cs typeface="ＭＳ Ｐゴシック" charset="-128"/>
                            </a:defRPr>
                          </a:lvl8pPr>
                          <a:lvl9pPr marL="3657600" algn="l" defTabSz="457200" rtl="0" eaLnBrk="1" latinLnBrk="0" hangingPunct="1">
                            <a:defRPr kern="1200">
                              <a:solidFill>
                                <a:schemeClr val="tx1"/>
                              </a:solidFill>
                              <a:latin typeface="Arial" charset="0"/>
                              <a:ea typeface="ＭＳ Ｐゴシック" charset="-128"/>
                              <a:cs typeface="ＭＳ Ｐゴシック" charset="-128"/>
                            </a:defRPr>
                          </a:lvl9pPr>
                        </a:lstStyle>
                        <a:p>
                          <a:pPr marL="26988">
                            <a:lnSpc>
                              <a:spcPct val="85000"/>
                            </a:lnSpc>
                            <a:spcBef>
                              <a:spcPts val="275"/>
                            </a:spcBef>
                            <a:tabLst>
                              <a:tab pos="117475" algn="l"/>
                              <a:tab pos="200025" algn="l"/>
                              <a:tab pos="277813" algn="l"/>
                            </a:tabLst>
                          </a:pPr>
                          <a:r>
                            <a:rPr lang="en-US" sz="2100" b="1">
                              <a:solidFill>
                                <a:srgbClr val="FF6600"/>
                              </a:solidFill>
                              <a:latin typeface="Tw Cen MT Condensed" charset="0"/>
                              <a:ea typeface="Arial" charset="0"/>
                              <a:cs typeface="Arial" charset="0"/>
                            </a:rPr>
                            <a:t>LEVERAGE UNIQUE ROLE OF CONSORITUM</a:t>
                          </a:r>
                          <a:endParaRPr lang="en-US" sz="2100">
                            <a:solidFill>
                              <a:srgbClr val="FF6600"/>
                            </a:solidFill>
                            <a:latin typeface="Tw Cen MT Condensed" charset="0"/>
                            <a:ea typeface="Arial" charset="0"/>
                            <a:cs typeface="Arial" charset="0"/>
                          </a:endParaRPr>
                        </a:p>
                      </a:txBody>
                      <a:useSpRect/>
                    </a:txSp>
                  </a:sp>
                  <a:sp>
                    <a:nvSpPr>
                      <a:cNvPr id="17" name="Rectangle 16"/>
                      <a:cNvSpPr>
                        <a:spLocks noChangeArrowheads="1"/>
                      </a:cNvSpPr>
                    </a:nvSpPr>
                    <a:spPr bwMode="auto">
                      <a:xfrm>
                        <a:off x="223838" y="4664075"/>
                        <a:ext cx="3529012" cy="927100"/>
                      </a:xfrm>
                      <a:prstGeom prst="rect">
                        <a:avLst/>
                      </a:prstGeom>
                      <a:noFill/>
                      <a:ln w="9525">
                        <a:noFill/>
                        <a:miter lim="800000"/>
                        <a:headEnd/>
                        <a:tailEnd/>
                      </a:ln>
                    </a:spPr>
                    <a:txSp>
                      <a:txBody>
                        <a:bodyPr lIns="64008" tIns="32004" rIns="64008" bIns="32004">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5pPr>
                          <a:lvl6pPr marL="2286000" algn="l" defTabSz="457200" rtl="0" eaLnBrk="1" latinLnBrk="0" hangingPunct="1">
                            <a:defRPr kern="1200">
                              <a:solidFill>
                                <a:schemeClr val="tx1"/>
                              </a:solidFill>
                              <a:latin typeface="Arial" charset="0"/>
                              <a:ea typeface="ＭＳ Ｐゴシック" charset="-128"/>
                              <a:cs typeface="ＭＳ Ｐゴシック" charset="-128"/>
                            </a:defRPr>
                          </a:lvl6pPr>
                          <a:lvl7pPr marL="2743200" algn="l" defTabSz="457200" rtl="0" eaLnBrk="1" latinLnBrk="0" hangingPunct="1">
                            <a:defRPr kern="1200">
                              <a:solidFill>
                                <a:schemeClr val="tx1"/>
                              </a:solidFill>
                              <a:latin typeface="Arial" charset="0"/>
                              <a:ea typeface="ＭＳ Ｐゴシック" charset="-128"/>
                              <a:cs typeface="ＭＳ Ｐゴシック" charset="-128"/>
                            </a:defRPr>
                          </a:lvl7pPr>
                          <a:lvl8pPr marL="3200400" algn="l" defTabSz="457200" rtl="0" eaLnBrk="1" latinLnBrk="0" hangingPunct="1">
                            <a:defRPr kern="1200">
                              <a:solidFill>
                                <a:schemeClr val="tx1"/>
                              </a:solidFill>
                              <a:latin typeface="Arial" charset="0"/>
                              <a:ea typeface="ＭＳ Ｐゴシック" charset="-128"/>
                              <a:cs typeface="ＭＳ Ｐゴシック" charset="-128"/>
                            </a:defRPr>
                          </a:lvl8pPr>
                          <a:lvl9pPr marL="3657600" algn="l" defTabSz="457200" rtl="0" eaLnBrk="1" latinLnBrk="0" hangingPunct="1">
                            <a:defRPr kern="1200">
                              <a:solidFill>
                                <a:schemeClr val="tx1"/>
                              </a:solidFill>
                              <a:latin typeface="Arial" charset="0"/>
                              <a:ea typeface="ＭＳ Ｐゴシック" charset="-128"/>
                              <a:cs typeface="ＭＳ Ｐゴシック" charset="-128"/>
                            </a:defRPr>
                          </a:lvl9pPr>
                        </a:lstStyle>
                        <a:p>
                          <a:r>
                            <a:rPr lang="en-US" sz="2200" b="1" i="1">
                              <a:latin typeface="Tw Cen MT" charset="0"/>
                              <a:ea typeface="Tw Cen MT" charset="0"/>
                              <a:cs typeface="Tw Cen MT" charset="0"/>
                            </a:rPr>
                            <a:t>Standing together will be more valuable than working alone.</a:t>
                          </a:r>
                          <a:r>
                            <a:rPr lang="en-US" sz="2200" b="1">
                              <a:latin typeface="Tw Cen MT" charset="0"/>
                              <a:ea typeface="Tw Cen MT" charset="0"/>
                              <a:cs typeface="Tw Cen MT" charset="0"/>
                            </a:rPr>
                            <a:t> </a:t>
                          </a:r>
                        </a:p>
                        <a:p>
                          <a:endParaRPr lang="en-US" sz="1200">
                            <a:latin typeface="Tw Cen MT" charset="0"/>
                            <a:ea typeface="Tw Cen MT" charset="0"/>
                            <a:cs typeface="Tw Cen MT" charset="0"/>
                          </a:endParaRPr>
                        </a:p>
                      </a:txBody>
                      <a:useSpRect/>
                    </a:txSp>
                  </a:sp>
                </lc:lockedCanvas>
              </a:graphicData>
            </a:graphic>
          </wp:inline>
        </w:drawing>
      </w:r>
    </w:p>
    <w:p w:rsidR="00183251" w:rsidRDefault="00183251" w:rsidP="00183251"/>
    <w:p w:rsidR="00183251" w:rsidRDefault="00183251" w:rsidP="00183251">
      <w:r w:rsidRPr="00183251">
        <w:drawing>
          <wp:inline distT="0" distB="0" distL="0" distR="0">
            <wp:extent cx="5880735" cy="1869440"/>
            <wp:effectExtent l="0" t="0" r="0" b="0"/>
            <wp:docPr id="22" name="O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060825" cy="1768475"/>
                      <a:chOff x="233363" y="1327150"/>
                      <a:chExt cx="4060825" cy="1768475"/>
                    </a:xfrm>
                  </a:grpSpPr>
                  <a:sp>
                    <a:nvSpPr>
                      <a:cNvPr id="18" name="Rectangle 13"/>
                      <a:cNvSpPr>
                        <a:spLocks/>
                      </a:cNvSpPr>
                    </a:nvSpPr>
                    <a:spPr bwMode="auto">
                      <a:xfrm>
                        <a:off x="273050" y="1327150"/>
                        <a:ext cx="4021138" cy="409575"/>
                      </a:xfrm>
                      <a:prstGeom prst="rect">
                        <a:avLst/>
                      </a:prstGeom>
                      <a:noFill/>
                      <a:ln w="12700">
                        <a:noFill/>
                        <a:miter lim="800000"/>
                        <a:headEnd/>
                        <a:tailEnd/>
                      </a:ln>
                    </a:spPr>
                    <a:txSp>
                      <a:txBody>
                        <a:bodyPr lIns="0" tIns="0" rIns="28447" bIns="0">
                          <a:prstTxWarp prst="textNoShape">
                            <a:avLst/>
                          </a:prstTxWarp>
                        </a:bodyP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5pPr>
                          <a:lvl6pPr marL="2286000" algn="l" defTabSz="457200" rtl="0" eaLnBrk="1" latinLnBrk="0" hangingPunct="1">
                            <a:defRPr kern="1200">
                              <a:solidFill>
                                <a:schemeClr val="tx1"/>
                              </a:solidFill>
                              <a:latin typeface="Arial" charset="0"/>
                              <a:ea typeface="ＭＳ Ｐゴシック" charset="-128"/>
                              <a:cs typeface="ＭＳ Ｐゴシック" charset="-128"/>
                            </a:defRPr>
                          </a:lvl6pPr>
                          <a:lvl7pPr marL="2743200" algn="l" defTabSz="457200" rtl="0" eaLnBrk="1" latinLnBrk="0" hangingPunct="1">
                            <a:defRPr kern="1200">
                              <a:solidFill>
                                <a:schemeClr val="tx1"/>
                              </a:solidFill>
                              <a:latin typeface="Arial" charset="0"/>
                              <a:ea typeface="ＭＳ Ｐゴシック" charset="-128"/>
                              <a:cs typeface="ＭＳ Ｐゴシック" charset="-128"/>
                            </a:defRPr>
                          </a:lvl7pPr>
                          <a:lvl8pPr marL="3200400" algn="l" defTabSz="457200" rtl="0" eaLnBrk="1" latinLnBrk="0" hangingPunct="1">
                            <a:defRPr kern="1200">
                              <a:solidFill>
                                <a:schemeClr val="tx1"/>
                              </a:solidFill>
                              <a:latin typeface="Arial" charset="0"/>
                              <a:ea typeface="ＭＳ Ｐゴシック" charset="-128"/>
                              <a:cs typeface="ＭＳ Ｐゴシック" charset="-128"/>
                            </a:defRPr>
                          </a:lvl8pPr>
                          <a:lvl9pPr marL="3657600" algn="l" defTabSz="457200" rtl="0" eaLnBrk="1" latinLnBrk="0" hangingPunct="1">
                            <a:defRPr kern="1200">
                              <a:solidFill>
                                <a:schemeClr val="tx1"/>
                              </a:solidFill>
                              <a:latin typeface="Arial" charset="0"/>
                              <a:ea typeface="ＭＳ Ｐゴシック" charset="-128"/>
                              <a:cs typeface="ＭＳ Ｐゴシック" charset="-128"/>
                            </a:defRPr>
                          </a:lvl9pPr>
                        </a:lstStyle>
                        <a:p>
                          <a:pPr marL="26988">
                            <a:lnSpc>
                              <a:spcPct val="85000"/>
                            </a:lnSpc>
                            <a:spcBef>
                              <a:spcPts val="275"/>
                            </a:spcBef>
                            <a:tabLst>
                              <a:tab pos="117475" algn="l"/>
                              <a:tab pos="200025" algn="l"/>
                              <a:tab pos="277813" algn="l"/>
                            </a:tabLst>
                          </a:pPr>
                          <a:r>
                            <a:rPr lang="en-US" sz="2100" b="1">
                              <a:solidFill>
                                <a:srgbClr val="FF6600"/>
                              </a:solidFill>
                              <a:latin typeface="Tw Cen MT Condensed" charset="0"/>
                              <a:ea typeface="Arial" charset="0"/>
                              <a:cs typeface="Arial" charset="0"/>
                            </a:rPr>
                            <a:t>BUILDING AUDIENCES AS COMMUNITIES</a:t>
                          </a:r>
                          <a:endParaRPr lang="en-US" sz="2100">
                            <a:solidFill>
                              <a:srgbClr val="FF6600"/>
                            </a:solidFill>
                            <a:latin typeface="Tw Cen MT Condensed" charset="0"/>
                            <a:ea typeface="Arial" charset="0"/>
                            <a:cs typeface="Arial" charset="0"/>
                          </a:endParaRPr>
                        </a:p>
                      </a:txBody>
                      <a:useSpRect/>
                    </a:txSp>
                  </a:sp>
                  <a:sp>
                    <a:nvSpPr>
                      <a:cNvPr id="19" name="Rectangle 18"/>
                      <a:cNvSpPr>
                        <a:spLocks noChangeArrowheads="1"/>
                      </a:cNvSpPr>
                    </a:nvSpPr>
                    <a:spPr bwMode="auto">
                      <a:xfrm>
                        <a:off x="233363" y="2000250"/>
                        <a:ext cx="3051175" cy="1095375"/>
                      </a:xfrm>
                      <a:prstGeom prst="rect">
                        <a:avLst/>
                      </a:prstGeom>
                      <a:noFill/>
                      <a:ln w="9525">
                        <a:noFill/>
                        <a:miter lim="800000"/>
                        <a:headEnd/>
                        <a:tailEnd/>
                      </a:ln>
                    </a:spPr>
                    <a:txSp>
                      <a:txBody>
                        <a:bodyPr lIns="64008" tIns="32004" rIns="64008" bIns="32004">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5pPr>
                          <a:lvl6pPr marL="2286000" algn="l" defTabSz="457200" rtl="0" eaLnBrk="1" latinLnBrk="0" hangingPunct="1">
                            <a:defRPr kern="1200">
                              <a:solidFill>
                                <a:schemeClr val="tx1"/>
                              </a:solidFill>
                              <a:latin typeface="Arial" charset="0"/>
                              <a:ea typeface="ＭＳ Ｐゴシック" charset="-128"/>
                              <a:cs typeface="ＭＳ Ｐゴシック" charset="-128"/>
                            </a:defRPr>
                          </a:lvl6pPr>
                          <a:lvl7pPr marL="2743200" algn="l" defTabSz="457200" rtl="0" eaLnBrk="1" latinLnBrk="0" hangingPunct="1">
                            <a:defRPr kern="1200">
                              <a:solidFill>
                                <a:schemeClr val="tx1"/>
                              </a:solidFill>
                              <a:latin typeface="Arial" charset="0"/>
                              <a:ea typeface="ＭＳ Ｐゴシック" charset="-128"/>
                              <a:cs typeface="ＭＳ Ｐゴシック" charset="-128"/>
                            </a:defRPr>
                          </a:lvl7pPr>
                          <a:lvl8pPr marL="3200400" algn="l" defTabSz="457200" rtl="0" eaLnBrk="1" latinLnBrk="0" hangingPunct="1">
                            <a:defRPr kern="1200">
                              <a:solidFill>
                                <a:schemeClr val="tx1"/>
                              </a:solidFill>
                              <a:latin typeface="Arial" charset="0"/>
                              <a:ea typeface="ＭＳ Ｐゴシック" charset="-128"/>
                              <a:cs typeface="ＭＳ Ｐゴシック" charset="-128"/>
                            </a:defRPr>
                          </a:lvl8pPr>
                          <a:lvl9pPr marL="3657600" algn="l" defTabSz="457200" rtl="0" eaLnBrk="1" latinLnBrk="0" hangingPunct="1">
                            <a:defRPr kern="1200">
                              <a:solidFill>
                                <a:schemeClr val="tx1"/>
                              </a:solidFill>
                              <a:latin typeface="Arial" charset="0"/>
                              <a:ea typeface="ＭＳ Ｐゴシック" charset="-128"/>
                              <a:cs typeface="ＭＳ Ｐゴシック" charset="-128"/>
                            </a:defRPr>
                          </a:lvl9pPr>
                        </a:lstStyle>
                        <a:p>
                          <a:pPr>
                            <a:lnSpc>
                              <a:spcPts val="2238"/>
                            </a:lnSpc>
                          </a:pPr>
                          <a:r>
                            <a:rPr lang="en-US" sz="2200" b="1" i="1" dirty="0">
                              <a:latin typeface="Tw Cen MT" charset="0"/>
                              <a:ea typeface="Tw Cen MT" charset="0"/>
                              <a:cs typeface="Tw Cen MT" charset="0"/>
                            </a:rPr>
                            <a:t>Decentralized communities will create the greatest impact.</a:t>
                          </a:r>
                          <a:r>
                            <a:rPr lang="en-US" sz="2200" b="1" dirty="0">
                              <a:latin typeface="Tw Cen MT" charset="0"/>
                              <a:ea typeface="Tw Cen MT" charset="0"/>
                              <a:cs typeface="Tw Cen MT" charset="0"/>
                            </a:rPr>
                            <a:t> </a:t>
                          </a:r>
                        </a:p>
                        <a:p>
                          <a:endParaRPr lang="en-US" sz="1200" dirty="0">
                            <a:latin typeface="Tw Cen MT" charset="0"/>
                            <a:ea typeface="Tw Cen MT" charset="0"/>
                            <a:cs typeface="Tw Cen MT" charset="0"/>
                          </a:endParaRPr>
                        </a:p>
                      </a:txBody>
                      <a:useSpRect/>
                    </a:txSp>
                  </a:sp>
                </lc:lockedCanvas>
              </a:graphicData>
            </a:graphic>
          </wp:inline>
        </w:drawing>
      </w:r>
    </w:p>
    <w:p w:rsidR="00183251" w:rsidRDefault="00183251" w:rsidP="00183251"/>
    <w:p w:rsidR="00183251" w:rsidRDefault="00183251" w:rsidP="00183251"/>
    <w:p w:rsidR="00CB1480" w:rsidRDefault="00CB1480" w:rsidP="00183251">
      <w:r>
        <w:t>Launch of II Labs:</w:t>
      </w:r>
    </w:p>
    <w:p w:rsidR="00CB1480" w:rsidRDefault="00CB1480" w:rsidP="00183251">
      <w:r>
        <w:t>Small group labs</w:t>
      </w:r>
    </w:p>
    <w:p w:rsidR="00CB1480" w:rsidRDefault="00CB1480" w:rsidP="00183251">
      <w:r>
        <w:t>Research, collaboration, talking to experts, seed money</w:t>
      </w:r>
    </w:p>
    <w:p w:rsidR="00CB1480" w:rsidRPr="00883F96" w:rsidRDefault="00CB1480" w:rsidP="00CB1480">
      <w:pPr>
        <w:rPr>
          <w:rFonts w:ascii="Times New Roman" w:hAnsi="Times New Roman"/>
          <w:b/>
          <w:sz w:val="28"/>
        </w:rPr>
      </w:pPr>
      <w:r w:rsidRPr="00B27411">
        <w:rPr>
          <w:rFonts w:ascii="Times New Roman" w:hAnsi="Times New Roman"/>
        </w:rPr>
        <w:t xml:space="preserve">Within the Digital Innovation Studio, The Media Consortium has recruited over a dozen media organizations to participate in one or more of the following labs. </w:t>
      </w:r>
    </w:p>
    <w:p w:rsidR="00CB1480" w:rsidRPr="00B27411" w:rsidRDefault="00CB1480" w:rsidP="00CB1480">
      <w:pPr>
        <w:pStyle w:val="ListParagraph"/>
        <w:numPr>
          <w:ilvl w:val="0"/>
          <w:numId w:val="2"/>
        </w:numPr>
        <w:spacing w:after="120"/>
        <w:rPr>
          <w:rFonts w:ascii="Times New Roman" w:hAnsi="Times New Roman"/>
        </w:rPr>
      </w:pPr>
      <w:r w:rsidRPr="00B27411">
        <w:rPr>
          <w:rFonts w:ascii="Times New Roman" w:hAnsi="Times New Roman"/>
        </w:rPr>
        <w:t xml:space="preserve">Moving into mobile: Cell phones, e-readers, and </w:t>
      </w:r>
      <w:proofErr w:type="spellStart"/>
      <w:r w:rsidRPr="00B27411">
        <w:rPr>
          <w:rFonts w:ascii="Times New Roman" w:hAnsi="Times New Roman"/>
        </w:rPr>
        <w:t>iPads</w:t>
      </w:r>
      <w:proofErr w:type="spellEnd"/>
      <w:r w:rsidRPr="00B27411">
        <w:rPr>
          <w:rFonts w:ascii="Times New Roman" w:hAnsi="Times New Roman"/>
        </w:rPr>
        <w:t>, oh my!</w:t>
      </w:r>
    </w:p>
    <w:p w:rsidR="00CB1480" w:rsidRPr="00B27411" w:rsidRDefault="00CB1480" w:rsidP="00CB1480">
      <w:pPr>
        <w:pStyle w:val="ListParagraph"/>
        <w:numPr>
          <w:ilvl w:val="0"/>
          <w:numId w:val="2"/>
        </w:numPr>
        <w:spacing w:after="120"/>
        <w:rPr>
          <w:rFonts w:ascii="Times New Roman" w:hAnsi="Times New Roman"/>
        </w:rPr>
      </w:pPr>
      <w:r w:rsidRPr="00B27411">
        <w:rPr>
          <w:rFonts w:ascii="Times New Roman" w:hAnsi="Times New Roman"/>
        </w:rPr>
        <w:t>Integrating journalism with community engagement and building models</w:t>
      </w:r>
    </w:p>
    <w:p w:rsidR="00CB1480" w:rsidRPr="00B27411" w:rsidRDefault="00CB1480" w:rsidP="00CB1480">
      <w:pPr>
        <w:pStyle w:val="ListParagraph"/>
        <w:numPr>
          <w:ilvl w:val="0"/>
          <w:numId w:val="2"/>
        </w:numPr>
        <w:spacing w:after="120"/>
        <w:rPr>
          <w:rFonts w:ascii="Times New Roman" w:hAnsi="Times New Roman"/>
        </w:rPr>
      </w:pPr>
      <w:r w:rsidRPr="00B27411">
        <w:rPr>
          <w:rFonts w:ascii="Times New Roman" w:hAnsi="Times New Roman"/>
        </w:rPr>
        <w:t xml:space="preserve">Experimenting with new revenue-generating opportunities </w:t>
      </w:r>
    </w:p>
    <w:p w:rsidR="00CB1480" w:rsidRPr="00B27411" w:rsidRDefault="00CB1480" w:rsidP="00CB1480">
      <w:pPr>
        <w:pStyle w:val="ListParagraph"/>
        <w:numPr>
          <w:ilvl w:val="0"/>
          <w:numId w:val="4"/>
        </w:numPr>
        <w:rPr>
          <w:rFonts w:ascii="Times New Roman" w:eastAsia="Times New Roman" w:hAnsi="Times New Roman"/>
          <w:i/>
        </w:rPr>
      </w:pPr>
      <w:r w:rsidRPr="00B27411">
        <w:rPr>
          <w:rFonts w:ascii="Times New Roman" w:eastAsia="Times New Roman" w:hAnsi="Times New Roman"/>
          <w:i/>
        </w:rPr>
        <w:br/>
      </w:r>
    </w:p>
    <w:p w:rsidR="00CB1480" w:rsidRDefault="00CB1480" w:rsidP="00CB1480">
      <w:pPr>
        <w:spacing w:after="120"/>
        <w:ind w:left="60"/>
        <w:rPr>
          <w:rFonts w:ascii="Times New Roman" w:eastAsia="Times New Roman" w:hAnsi="Times New Roman"/>
        </w:rPr>
      </w:pPr>
      <w:r w:rsidRPr="00B27411">
        <w:rPr>
          <w:rFonts w:ascii="Times New Roman" w:eastAsia="Times New Roman" w:hAnsi="Times New Roman"/>
        </w:rPr>
        <w:t xml:space="preserve">With these small-group labs, The Media Consortium's goals are to support deep learning and incremental shifts for TMC members to develop new models </w:t>
      </w:r>
      <w:r>
        <w:rPr>
          <w:rFonts w:ascii="Times New Roman" w:eastAsia="Times New Roman" w:hAnsi="Times New Roman"/>
        </w:rPr>
        <w:t>for</w:t>
      </w:r>
      <w:r w:rsidRPr="00B27411">
        <w:rPr>
          <w:rFonts w:ascii="Times New Roman" w:eastAsia="Times New Roman" w:hAnsi="Times New Roman"/>
        </w:rPr>
        <w:t xml:space="preserve"> revenue generation, audience development</w:t>
      </w:r>
      <w:r>
        <w:rPr>
          <w:rFonts w:ascii="Times New Roman" w:eastAsia="Times New Roman" w:hAnsi="Times New Roman"/>
        </w:rPr>
        <w:t>,</w:t>
      </w:r>
      <w:r w:rsidRPr="00B27411">
        <w:rPr>
          <w:rFonts w:ascii="Times New Roman" w:eastAsia="Times New Roman" w:hAnsi="Times New Roman"/>
        </w:rPr>
        <w:t xml:space="preserve"> and editorial </w:t>
      </w:r>
      <w:r>
        <w:rPr>
          <w:rFonts w:ascii="Times New Roman" w:eastAsia="Times New Roman" w:hAnsi="Times New Roman"/>
        </w:rPr>
        <w:t>content</w:t>
      </w:r>
      <w:r w:rsidRPr="00B27411">
        <w:rPr>
          <w:rFonts w:ascii="Times New Roman" w:eastAsia="Times New Roman" w:hAnsi="Times New Roman"/>
        </w:rPr>
        <w:t xml:space="preserve">. Cumulatively, these labs will catalyze a broad shift in how independent media outlets survive and thrive in a 21st century landscape. In addition to organizing the labs, The Media Consortium </w:t>
      </w:r>
      <w:r>
        <w:rPr>
          <w:rFonts w:ascii="Times New Roman" w:eastAsia="Times New Roman" w:hAnsi="Times New Roman"/>
        </w:rPr>
        <w:t xml:space="preserve">is providing seed money </w:t>
      </w:r>
      <w:r w:rsidRPr="00B27411">
        <w:rPr>
          <w:rFonts w:ascii="Times New Roman" w:eastAsia="Times New Roman" w:hAnsi="Times New Roman"/>
        </w:rPr>
        <w:t>to help incubate a collaborative experiment</w:t>
      </w:r>
      <w:r>
        <w:rPr>
          <w:rFonts w:ascii="Times New Roman" w:eastAsia="Times New Roman" w:hAnsi="Times New Roman"/>
        </w:rPr>
        <w:t xml:space="preserve"> for each lab</w:t>
      </w:r>
      <w:r w:rsidRPr="00B27411">
        <w:rPr>
          <w:rFonts w:ascii="Times New Roman" w:eastAsia="Times New Roman" w:hAnsi="Times New Roman"/>
        </w:rPr>
        <w:t>.</w:t>
      </w:r>
    </w:p>
    <w:p w:rsidR="00CB1480" w:rsidRPr="00D13462" w:rsidRDefault="00CB1480" w:rsidP="00CB1480">
      <w:pPr>
        <w:spacing w:after="120"/>
        <w:ind w:left="60"/>
        <w:rPr>
          <w:rFonts w:ascii="Times New Roman" w:eastAsia="Times New Roman" w:hAnsi="Times New Roman"/>
        </w:rPr>
      </w:pPr>
      <w:r>
        <w:rPr>
          <w:rFonts w:ascii="Times New Roman" w:eastAsia="Times New Roman" w:hAnsi="Times New Roman"/>
        </w:rPr>
        <w:t>Experiment criteria:</w:t>
      </w:r>
    </w:p>
    <w:p w:rsidR="00CB1480" w:rsidRPr="00B27411" w:rsidRDefault="00CB1480" w:rsidP="00CB1480">
      <w:pPr>
        <w:numPr>
          <w:ilvl w:val="0"/>
          <w:numId w:val="3"/>
        </w:numPr>
        <w:spacing w:beforeLines="1" w:afterLines="1"/>
        <w:rPr>
          <w:rFonts w:ascii="Times New Roman" w:hAnsi="Times New Roman"/>
          <w:szCs w:val="20"/>
        </w:rPr>
      </w:pPr>
      <w:r w:rsidRPr="00B27411">
        <w:rPr>
          <w:rFonts w:ascii="Times New Roman" w:hAnsi="Times New Roman"/>
          <w:szCs w:val="20"/>
        </w:rPr>
        <w:t>Have top line goal(s) that can be shared by all participants in that small group lab.</w:t>
      </w:r>
    </w:p>
    <w:p w:rsidR="00CB1480" w:rsidRPr="00B27411" w:rsidRDefault="00CB1480" w:rsidP="00CB1480">
      <w:pPr>
        <w:numPr>
          <w:ilvl w:val="0"/>
          <w:numId w:val="3"/>
        </w:numPr>
        <w:spacing w:beforeLines="1" w:afterLines="1"/>
        <w:rPr>
          <w:rFonts w:ascii="Times New Roman" w:hAnsi="Times New Roman"/>
          <w:szCs w:val="20"/>
        </w:rPr>
      </w:pPr>
      <w:r w:rsidRPr="00B27411">
        <w:rPr>
          <w:rFonts w:ascii="Times New Roman" w:hAnsi="Times New Roman"/>
          <w:szCs w:val="20"/>
        </w:rPr>
        <w:t xml:space="preserve">Address one or more of following opportunities: </w:t>
      </w:r>
    </w:p>
    <w:p w:rsidR="00CB1480" w:rsidRPr="00B27411" w:rsidRDefault="00CB1480" w:rsidP="00CB1480">
      <w:pPr>
        <w:numPr>
          <w:ilvl w:val="1"/>
          <w:numId w:val="3"/>
        </w:numPr>
        <w:spacing w:beforeLines="1" w:afterLines="1"/>
        <w:rPr>
          <w:rFonts w:ascii="Times New Roman" w:hAnsi="Times New Roman"/>
          <w:szCs w:val="20"/>
        </w:rPr>
      </w:pPr>
      <w:r w:rsidRPr="00B27411">
        <w:rPr>
          <w:rFonts w:ascii="Times New Roman" w:hAnsi="Times New Roman"/>
          <w:szCs w:val="20"/>
        </w:rPr>
        <w:t>Bring in revenue from new sources or deepening current revenue-generating opportunities;</w:t>
      </w:r>
    </w:p>
    <w:p w:rsidR="00CB1480" w:rsidRPr="00B27411" w:rsidRDefault="00CB1480" w:rsidP="00CB1480">
      <w:pPr>
        <w:numPr>
          <w:ilvl w:val="1"/>
          <w:numId w:val="3"/>
        </w:numPr>
        <w:spacing w:beforeLines="1" w:afterLines="1"/>
        <w:rPr>
          <w:rFonts w:ascii="Times New Roman" w:hAnsi="Times New Roman"/>
          <w:szCs w:val="20"/>
        </w:rPr>
      </w:pPr>
      <w:r w:rsidRPr="00B27411">
        <w:rPr>
          <w:rFonts w:ascii="Times New Roman" w:hAnsi="Times New Roman"/>
          <w:szCs w:val="20"/>
        </w:rPr>
        <w:t>Raise impact/influence of journalism (i.e. collaborations, new journalism production models, community engagement);</w:t>
      </w:r>
    </w:p>
    <w:p w:rsidR="00CB1480" w:rsidRPr="00B27411" w:rsidRDefault="00CB1480" w:rsidP="00CB1480">
      <w:pPr>
        <w:numPr>
          <w:ilvl w:val="1"/>
          <w:numId w:val="3"/>
        </w:numPr>
        <w:spacing w:beforeLines="1" w:afterLines="1"/>
        <w:rPr>
          <w:rFonts w:ascii="Times New Roman" w:hAnsi="Times New Roman"/>
          <w:szCs w:val="20"/>
        </w:rPr>
      </w:pPr>
      <w:r w:rsidRPr="00B27411">
        <w:rPr>
          <w:rFonts w:ascii="Times New Roman" w:hAnsi="Times New Roman"/>
          <w:szCs w:val="20"/>
        </w:rPr>
        <w:t>Expand reach of content to targeted audiences.</w:t>
      </w:r>
    </w:p>
    <w:p w:rsidR="00CB1480" w:rsidRPr="00B27411" w:rsidRDefault="00CB1480" w:rsidP="00CB1480">
      <w:pPr>
        <w:numPr>
          <w:ilvl w:val="0"/>
          <w:numId w:val="3"/>
        </w:numPr>
        <w:spacing w:beforeLines="1" w:afterLines="1"/>
        <w:rPr>
          <w:rFonts w:ascii="Times New Roman" w:hAnsi="Times New Roman"/>
          <w:szCs w:val="20"/>
        </w:rPr>
      </w:pPr>
      <w:r w:rsidRPr="00B27411">
        <w:rPr>
          <w:rFonts w:ascii="Times New Roman" w:hAnsi="Times New Roman"/>
          <w:szCs w:val="20"/>
        </w:rPr>
        <w:t>Be scalable/replicable.</w:t>
      </w:r>
    </w:p>
    <w:p w:rsidR="00CB1480" w:rsidRPr="00B27411" w:rsidRDefault="00CB1480" w:rsidP="00CB1480">
      <w:pPr>
        <w:numPr>
          <w:ilvl w:val="0"/>
          <w:numId w:val="3"/>
        </w:numPr>
        <w:spacing w:beforeLines="1" w:afterLines="1"/>
        <w:rPr>
          <w:rFonts w:ascii="Times New Roman" w:hAnsi="Times New Roman"/>
          <w:szCs w:val="20"/>
        </w:rPr>
      </w:pPr>
      <w:r w:rsidRPr="00B27411">
        <w:rPr>
          <w:rFonts w:ascii="Times New Roman" w:hAnsi="Times New Roman"/>
          <w:szCs w:val="20"/>
        </w:rPr>
        <w:t>An emphasis on experiments that are collaborative or customizable per organization is highly encouraged.</w:t>
      </w:r>
    </w:p>
    <w:p w:rsidR="00CB1480" w:rsidRPr="00B27411" w:rsidRDefault="00CB1480" w:rsidP="00CB1480">
      <w:pPr>
        <w:rPr>
          <w:rFonts w:ascii="Times New Roman" w:hAnsi="Times New Roman"/>
        </w:rPr>
      </w:pPr>
    </w:p>
    <w:p w:rsidR="00657832" w:rsidRDefault="00657832" w:rsidP="00183251"/>
    <w:sectPr w:rsidR="00657832" w:rsidSect="00183251">
      <w:pgSz w:w="12240" w:h="15840"/>
      <w:pgMar w:top="1440" w:right="81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C92"/>
    <w:multiLevelType w:val="hybridMultilevel"/>
    <w:tmpl w:val="E8A49B78"/>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163E7A6B"/>
    <w:multiLevelType w:val="hybridMultilevel"/>
    <w:tmpl w:val="F7369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367F20"/>
    <w:multiLevelType w:val="hybridMultilevel"/>
    <w:tmpl w:val="58E0EE1A"/>
    <w:lvl w:ilvl="0" w:tplc="17E63C3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596A0968"/>
    <w:multiLevelType w:val="multilevel"/>
    <w:tmpl w:val="E8F23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703420"/>
    <w:multiLevelType w:val="hybridMultilevel"/>
    <w:tmpl w:val="321A8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57832"/>
    <w:rsid w:val="000B686C"/>
    <w:rsid w:val="00183251"/>
    <w:rsid w:val="00657832"/>
    <w:rsid w:val="00CB148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E61"/>
    <w:rPr>
      <w:sz w:val="24"/>
      <w:szCs w:val="24"/>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57832"/>
    <w:pPr>
      <w:ind w:left="720"/>
      <w:contextualSpacing/>
    </w:pPr>
  </w:style>
  <w:style w:type="paragraph" w:styleId="NormalWeb">
    <w:name w:val="Normal (Web)"/>
    <w:basedOn w:val="Normal"/>
    <w:uiPriority w:val="99"/>
    <w:unhideWhenUsed/>
    <w:rsid w:val="00CB1480"/>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97289629">
      <w:bodyDiv w:val="1"/>
      <w:marLeft w:val="0"/>
      <w:marRight w:val="0"/>
      <w:marTop w:val="0"/>
      <w:marBottom w:val="0"/>
      <w:divBdr>
        <w:top w:val="none" w:sz="0" w:space="0" w:color="auto"/>
        <w:left w:val="none" w:sz="0" w:space="0" w:color="auto"/>
        <w:bottom w:val="none" w:sz="0" w:space="0" w:color="auto"/>
        <w:right w:val="none" w:sz="0" w:space="0" w:color="auto"/>
      </w:divBdr>
    </w:div>
    <w:div w:id="955796774">
      <w:bodyDiv w:val="1"/>
      <w:marLeft w:val="0"/>
      <w:marRight w:val="0"/>
      <w:marTop w:val="0"/>
      <w:marBottom w:val="0"/>
      <w:divBdr>
        <w:top w:val="none" w:sz="0" w:space="0" w:color="auto"/>
        <w:left w:val="none" w:sz="0" w:space="0" w:color="auto"/>
        <w:bottom w:val="none" w:sz="0" w:space="0" w:color="auto"/>
        <w:right w:val="none" w:sz="0" w:space="0" w:color="auto"/>
      </w:divBdr>
    </w:div>
    <w:div w:id="11030648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154</Words>
  <Characters>881</Characters>
  <Application>Microsoft Macintosh Word</Application>
  <DocSecurity>0</DocSecurity>
  <Lines>7</Lines>
  <Paragraphs>1</Paragraphs>
  <ScaleCrop>false</ScaleCrop>
  <Company>The Media Consortium </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Slyke</dc:creator>
  <cp:keywords/>
  <cp:lastModifiedBy>Tracy Van Slyke</cp:lastModifiedBy>
  <cp:revision>1</cp:revision>
  <dcterms:created xsi:type="dcterms:W3CDTF">2010-10-01T17:11:00Z</dcterms:created>
  <dcterms:modified xsi:type="dcterms:W3CDTF">2010-10-01T19:08:00Z</dcterms:modified>
</cp:coreProperties>
</file>