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832" w:rsidRPr="006767C4" w:rsidRDefault="00657832">
      <w:pPr>
        <w:rPr>
          <w:sz w:val="28"/>
        </w:rPr>
      </w:pPr>
      <w:proofErr w:type="spellStart"/>
      <w:r w:rsidRPr="006767C4">
        <w:rPr>
          <w:sz w:val="28"/>
        </w:rPr>
        <w:t>Q&amp;A’s</w:t>
      </w:r>
      <w:proofErr w:type="spellEnd"/>
      <w:r w:rsidRPr="006767C4">
        <w:rPr>
          <w:sz w:val="28"/>
        </w:rPr>
        <w:t xml:space="preserve"> for audience</w:t>
      </w:r>
    </w:p>
    <w:p w:rsidR="008E2CEE" w:rsidRPr="006767C4" w:rsidRDefault="008E2CEE" w:rsidP="00282F5E">
      <w:pPr>
        <w:pStyle w:val="ListParagraph"/>
        <w:numPr>
          <w:ilvl w:val="0"/>
          <w:numId w:val="6"/>
        </w:numPr>
        <w:rPr>
          <w:sz w:val="28"/>
        </w:rPr>
      </w:pPr>
      <w:r w:rsidRPr="006767C4">
        <w:rPr>
          <w:sz w:val="28"/>
        </w:rPr>
        <w:t xml:space="preserve">How </w:t>
      </w:r>
      <w:r w:rsidR="005D5E1A">
        <w:rPr>
          <w:sz w:val="28"/>
        </w:rPr>
        <w:t>many here are students?</w:t>
      </w:r>
    </w:p>
    <w:p w:rsidR="00282F5E" w:rsidRPr="006767C4" w:rsidRDefault="00282F5E" w:rsidP="00282F5E">
      <w:pPr>
        <w:pStyle w:val="ListParagraph"/>
        <w:numPr>
          <w:ilvl w:val="0"/>
          <w:numId w:val="6"/>
        </w:numPr>
        <w:rPr>
          <w:sz w:val="28"/>
        </w:rPr>
      </w:pPr>
      <w:proofErr w:type="gramStart"/>
      <w:r w:rsidRPr="006767C4">
        <w:rPr>
          <w:sz w:val="28"/>
        </w:rPr>
        <w:t>how</w:t>
      </w:r>
      <w:proofErr w:type="gramEnd"/>
      <w:r w:rsidRPr="006767C4">
        <w:rPr>
          <w:sz w:val="28"/>
        </w:rPr>
        <w:t xml:space="preserve"> many here are</w:t>
      </w:r>
      <w:r w:rsidR="005D5E1A">
        <w:rPr>
          <w:sz w:val="28"/>
        </w:rPr>
        <w:t xml:space="preserve"> </w:t>
      </w:r>
      <w:proofErr w:type="spellStart"/>
      <w:r w:rsidR="005D5E1A">
        <w:rPr>
          <w:sz w:val="28"/>
        </w:rPr>
        <w:t>alumnis</w:t>
      </w:r>
      <w:proofErr w:type="spellEnd"/>
      <w:r w:rsidR="005D5E1A">
        <w:rPr>
          <w:sz w:val="28"/>
        </w:rPr>
        <w:t xml:space="preserve">?  Journalism is your current career?  </w:t>
      </w:r>
    </w:p>
    <w:p w:rsidR="008E2CEE" w:rsidRPr="006767C4" w:rsidRDefault="00282F5E" w:rsidP="00282F5E">
      <w:pPr>
        <w:pStyle w:val="ListParagraph"/>
        <w:numPr>
          <w:ilvl w:val="0"/>
          <w:numId w:val="6"/>
        </w:numPr>
        <w:rPr>
          <w:sz w:val="28"/>
        </w:rPr>
      </w:pPr>
      <w:r w:rsidRPr="006767C4">
        <w:rPr>
          <w:sz w:val="28"/>
        </w:rPr>
        <w:t>How many here consider themselves primarily print reporters? Online only? Radio? Television?  (</w:t>
      </w:r>
      <w:proofErr w:type="gramStart"/>
      <w:r w:rsidRPr="006767C4">
        <w:rPr>
          <w:sz w:val="28"/>
        </w:rPr>
        <w:t>would</w:t>
      </w:r>
      <w:proofErr w:type="gramEnd"/>
      <w:r w:rsidRPr="006767C4">
        <w:rPr>
          <w:sz w:val="28"/>
        </w:rPr>
        <w:t xml:space="preserve"> say that now and in the future-never consider yourself a reporter for only one platform?)</w:t>
      </w:r>
    </w:p>
    <w:p w:rsidR="00282F5E" w:rsidRPr="006767C4" w:rsidRDefault="008E2CEE" w:rsidP="00282F5E">
      <w:pPr>
        <w:pStyle w:val="ListParagraph"/>
        <w:numPr>
          <w:ilvl w:val="0"/>
          <w:numId w:val="6"/>
        </w:numPr>
        <w:rPr>
          <w:sz w:val="28"/>
        </w:rPr>
      </w:pPr>
      <w:r w:rsidRPr="006767C4">
        <w:rPr>
          <w:sz w:val="28"/>
        </w:rPr>
        <w:t xml:space="preserve">How many people blog? Have created videos for </w:t>
      </w:r>
      <w:proofErr w:type="spellStart"/>
      <w:r w:rsidRPr="006767C4">
        <w:rPr>
          <w:sz w:val="28"/>
        </w:rPr>
        <w:t>youtube</w:t>
      </w:r>
      <w:proofErr w:type="spellEnd"/>
      <w:r w:rsidRPr="006767C4">
        <w:rPr>
          <w:sz w:val="28"/>
        </w:rPr>
        <w:t xml:space="preserve"> (fun or for work)?</w:t>
      </w:r>
    </w:p>
    <w:p w:rsidR="006767C4" w:rsidRDefault="00282F5E" w:rsidP="00282F5E">
      <w:pPr>
        <w:pStyle w:val="ListParagraph"/>
        <w:numPr>
          <w:ilvl w:val="0"/>
          <w:numId w:val="6"/>
        </w:numPr>
        <w:rPr>
          <w:sz w:val="28"/>
        </w:rPr>
      </w:pPr>
      <w:r w:rsidRPr="006767C4">
        <w:rPr>
          <w:sz w:val="28"/>
        </w:rPr>
        <w:t xml:space="preserve">How many use twitter or </w:t>
      </w:r>
      <w:proofErr w:type="spellStart"/>
      <w:r w:rsidRPr="006767C4">
        <w:rPr>
          <w:sz w:val="28"/>
        </w:rPr>
        <w:t>facebook</w:t>
      </w:r>
      <w:proofErr w:type="spellEnd"/>
      <w:r w:rsidRPr="006767C4">
        <w:rPr>
          <w:sz w:val="28"/>
        </w:rPr>
        <w:t xml:space="preserve"> to help with your reporting? To engage and have conversations with your audience?  </w:t>
      </w:r>
    </w:p>
    <w:p w:rsidR="00282F5E" w:rsidRPr="006767C4" w:rsidRDefault="006767C4" w:rsidP="00282F5E">
      <w:pPr>
        <w:pStyle w:val="ListParagraph"/>
        <w:numPr>
          <w:ilvl w:val="0"/>
          <w:numId w:val="6"/>
        </w:numPr>
        <w:rPr>
          <w:sz w:val="28"/>
        </w:rPr>
      </w:pPr>
      <w:r>
        <w:rPr>
          <w:sz w:val="28"/>
        </w:rPr>
        <w:t>How many are scared about their future in journalism? Excited? Both?</w:t>
      </w:r>
    </w:p>
    <w:p w:rsidR="008E2CEE" w:rsidRPr="006767C4" w:rsidRDefault="008E2CEE" w:rsidP="00183251">
      <w:pPr>
        <w:rPr>
          <w:sz w:val="28"/>
        </w:rPr>
      </w:pPr>
    </w:p>
    <w:p w:rsidR="008E2CEE" w:rsidRPr="006767C4" w:rsidRDefault="008E2CEE" w:rsidP="00183251">
      <w:pPr>
        <w:rPr>
          <w:sz w:val="28"/>
        </w:rPr>
      </w:pPr>
      <w:r w:rsidRPr="006767C4">
        <w:rPr>
          <w:sz w:val="28"/>
        </w:rPr>
        <w:t>WHAT IS THE MEDIA CONSORTIUM</w:t>
      </w:r>
      <w:r w:rsidR="005E1717" w:rsidRPr="006767C4">
        <w:rPr>
          <w:sz w:val="28"/>
        </w:rPr>
        <w:t>?</w:t>
      </w:r>
    </w:p>
    <w:p w:rsidR="008E2CEE" w:rsidRPr="006767C4" w:rsidRDefault="008E2CEE" w:rsidP="00183251">
      <w:pPr>
        <w:rPr>
          <w:sz w:val="28"/>
        </w:rPr>
      </w:pPr>
    </w:p>
    <w:p w:rsidR="00183251" w:rsidRPr="006767C4" w:rsidRDefault="00183251" w:rsidP="00183251">
      <w:pPr>
        <w:rPr>
          <w:sz w:val="28"/>
        </w:rPr>
      </w:pPr>
    </w:p>
    <w:p w:rsidR="008E2CEE" w:rsidRPr="006767C4" w:rsidRDefault="00183251" w:rsidP="00183251">
      <w:pPr>
        <w:rPr>
          <w:sz w:val="28"/>
        </w:rPr>
      </w:pPr>
      <w:r w:rsidRPr="006767C4">
        <w:rPr>
          <w:sz w:val="28"/>
        </w:rPr>
        <w:t xml:space="preserve">In fall 2009, The Media Consortium completed a year-long study </w:t>
      </w:r>
      <w:r w:rsidR="00282F5E" w:rsidRPr="006767C4">
        <w:rPr>
          <w:sz w:val="28"/>
        </w:rPr>
        <w:t>called The Big Thaw</w:t>
      </w:r>
      <w:r w:rsidR="008E2CEE" w:rsidRPr="006767C4">
        <w:rPr>
          <w:sz w:val="28"/>
        </w:rPr>
        <w:t xml:space="preserve">: </w:t>
      </w:r>
      <w:r w:rsidR="00282F5E" w:rsidRPr="006767C4">
        <w:rPr>
          <w:sz w:val="28"/>
        </w:rPr>
        <w:t xml:space="preserve"> </w:t>
      </w:r>
      <w:r w:rsidRPr="006767C4">
        <w:rPr>
          <w:sz w:val="28"/>
        </w:rPr>
        <w:t>that was born out of a desire to change the game for media consortium members and help us become the shapers of tomorrow’s media</w:t>
      </w:r>
      <w:r w:rsidR="008E2CEE" w:rsidRPr="006767C4">
        <w:rPr>
          <w:sz w:val="28"/>
        </w:rPr>
        <w:t xml:space="preserve"> landscape.</w:t>
      </w:r>
    </w:p>
    <w:p w:rsidR="008E2CEE" w:rsidRPr="006767C4" w:rsidRDefault="008E2CEE" w:rsidP="00183251">
      <w:pPr>
        <w:rPr>
          <w:sz w:val="28"/>
        </w:rPr>
      </w:pPr>
    </w:p>
    <w:p w:rsidR="005E1717" w:rsidRPr="006767C4" w:rsidRDefault="008E2CEE" w:rsidP="00183251">
      <w:pPr>
        <w:rPr>
          <w:sz w:val="28"/>
        </w:rPr>
      </w:pPr>
      <w:r w:rsidRPr="006767C4">
        <w:rPr>
          <w:sz w:val="28"/>
        </w:rPr>
        <w:t xml:space="preserve">GIVE SHORT OVERVIEW OF THE BIG THAW: CHARTING A NEW COURSE FOR JOURNALISM </w:t>
      </w:r>
      <w:r w:rsidR="005E1717" w:rsidRPr="006767C4">
        <w:rPr>
          <w:sz w:val="28"/>
        </w:rPr>
        <w:t>–50,000 FOOT POV AND THEN COME BACK DOWN TO EARTH TO TALK ABOUT EXACTLY WHAT WE’RE DOING</w:t>
      </w:r>
    </w:p>
    <w:p w:rsidR="005E1717" w:rsidRPr="006767C4" w:rsidRDefault="005E1717" w:rsidP="00183251">
      <w:pPr>
        <w:rPr>
          <w:sz w:val="28"/>
        </w:rPr>
      </w:pPr>
    </w:p>
    <w:p w:rsidR="008E2CEE" w:rsidRPr="006767C4" w:rsidRDefault="008E2CEE" w:rsidP="00183251">
      <w:pPr>
        <w:rPr>
          <w:sz w:val="28"/>
        </w:rPr>
      </w:pPr>
      <w:r w:rsidRPr="006767C4">
        <w:rPr>
          <w:sz w:val="28"/>
        </w:rPr>
        <w:t>AND HAPPY TO GIVE MORE DETAILS AND WHAT WE’VE DONE BC OF THE RECOMMENDATOINS WITHIN THE REPORT—THAT’S THE FUN STUFF.</w:t>
      </w:r>
    </w:p>
    <w:p w:rsidR="00183251" w:rsidRPr="006767C4" w:rsidRDefault="00183251" w:rsidP="00183251">
      <w:pPr>
        <w:rPr>
          <w:sz w:val="28"/>
        </w:rPr>
      </w:pPr>
    </w:p>
    <w:p w:rsidR="00282F5E" w:rsidRPr="006767C4" w:rsidRDefault="00183251" w:rsidP="00183251">
      <w:pPr>
        <w:rPr>
          <w:sz w:val="28"/>
        </w:rPr>
      </w:pPr>
      <w:r w:rsidRPr="006767C4">
        <w:rPr>
          <w:sz w:val="28"/>
        </w:rPr>
        <w:t>As traditional business and editorial models melt away, new innovations are rapidly reformi</w:t>
      </w:r>
      <w:r w:rsidR="00282F5E" w:rsidRPr="006767C4">
        <w:rPr>
          <w:sz w:val="28"/>
        </w:rPr>
        <w:t>ng journalism. The question we asked is:</w:t>
      </w:r>
    </w:p>
    <w:p w:rsidR="00183251" w:rsidRPr="006767C4" w:rsidRDefault="00183251" w:rsidP="00183251">
      <w:pPr>
        <w:rPr>
          <w:sz w:val="28"/>
        </w:rPr>
      </w:pPr>
    </w:p>
    <w:p w:rsidR="00183251" w:rsidRPr="006767C4" w:rsidRDefault="00183251" w:rsidP="00183251">
      <w:pPr>
        <w:rPr>
          <w:sz w:val="28"/>
        </w:rPr>
      </w:pPr>
      <w:r w:rsidRPr="006767C4">
        <w:rPr>
          <w:sz w:val="28"/>
        </w:rPr>
        <w:t>Can media producers adapt and lead, or will they disappear as we move out of journalism’s Ice Age?</w:t>
      </w:r>
    </w:p>
    <w:p w:rsidR="00183251" w:rsidRPr="006767C4" w:rsidRDefault="00183251" w:rsidP="00183251">
      <w:pPr>
        <w:rPr>
          <w:sz w:val="28"/>
        </w:rPr>
      </w:pPr>
    </w:p>
    <w:p w:rsidR="00183251" w:rsidRPr="006767C4" w:rsidRDefault="00183251" w:rsidP="00183251">
      <w:pPr>
        <w:rPr>
          <w:sz w:val="28"/>
        </w:rPr>
      </w:pPr>
      <w:r w:rsidRPr="006767C4">
        <w:rPr>
          <w:sz w:val="28"/>
        </w:rPr>
        <w:t xml:space="preserve">In The Big Thaw, we lay out four interlocked areas that we </w:t>
      </w:r>
      <w:r w:rsidR="008E2CEE" w:rsidRPr="006767C4">
        <w:rPr>
          <w:sz w:val="28"/>
        </w:rPr>
        <w:t xml:space="preserve">as journalism producers </w:t>
      </w:r>
      <w:r w:rsidRPr="006767C4">
        <w:rPr>
          <w:sz w:val="28"/>
        </w:rPr>
        <w:t xml:space="preserve">must navigate as we look to identify how to </w:t>
      </w:r>
      <w:r w:rsidR="008E2CEE" w:rsidRPr="006767C4">
        <w:rPr>
          <w:sz w:val="28"/>
        </w:rPr>
        <w:t xml:space="preserve">strategically </w:t>
      </w:r>
      <w:r w:rsidRPr="006767C4">
        <w:rPr>
          <w:sz w:val="28"/>
        </w:rPr>
        <w:t xml:space="preserve">evolve in this new environment. </w:t>
      </w:r>
      <w:r w:rsidR="005E013A" w:rsidRPr="006767C4">
        <w:rPr>
          <w:sz w:val="28"/>
        </w:rPr>
        <w:t xml:space="preserve"> HAPPY TO GET MORE IN DEPTH OR ANSWER ANY QUESTIONS ABOUT THE FOLLOWING.</w:t>
      </w:r>
    </w:p>
    <w:p w:rsidR="00183251" w:rsidRPr="006767C4" w:rsidRDefault="00183251" w:rsidP="00183251">
      <w:pPr>
        <w:rPr>
          <w:sz w:val="28"/>
        </w:rPr>
      </w:pPr>
      <w:r w:rsidRPr="006767C4">
        <w:rPr>
          <w:noProof/>
          <w:sz w:val="28"/>
        </w:rPr>
        <w:drawing>
          <wp:inline distT="0" distB="0" distL="0" distR="0">
            <wp:extent cx="2108835" cy="2885440"/>
            <wp:effectExtent l="0" t="0" r="0" b="0"/>
            <wp:docPr id="1" name="P 2"/>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pic:cNvPicPr>
                  </pic:nvPicPr>
                  <pic:blipFill>
                    <a:blip r:embed="rId5"/>
                    <a:srcRect/>
                    <a:stretch>
                      <a:fillRect/>
                    </a:stretch>
                  </pic:blipFill>
                  <pic:spPr bwMode="auto">
                    <a:xfrm>
                      <a:off x="0" y="0"/>
                      <a:ext cx="2110853" cy="2888201"/>
                    </a:xfrm>
                    <a:prstGeom prst="rect">
                      <a:avLst/>
                    </a:prstGeom>
                    <a:noFill/>
                    <a:ln w="9525">
                      <a:noFill/>
                      <a:miter lim="800000"/>
                      <a:headEnd/>
                      <a:tailEnd/>
                    </a:ln>
                  </pic:spPr>
                </pic:pic>
              </a:graphicData>
            </a:graphic>
          </wp:inline>
        </w:drawing>
      </w:r>
      <w:r w:rsidRPr="006767C4">
        <w:rPr>
          <w:sz w:val="28"/>
        </w:rPr>
        <w:t xml:space="preserve"> </w:t>
      </w:r>
      <w:r w:rsidRPr="006767C4">
        <w:rPr>
          <w:noProof/>
          <w:sz w:val="28"/>
        </w:rPr>
        <w:drawing>
          <wp:inline distT="0" distB="0" distL="0" distR="0">
            <wp:extent cx="3709035" cy="1513840"/>
            <wp:effectExtent l="0" t="0" r="0" b="0"/>
            <wp:docPr id="13" name="P 3"/>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pic:cNvPicPr>
                  </pic:nvPicPr>
                  <pic:blipFill>
                    <a:blip r:embed="rId6"/>
                    <a:srcRect/>
                    <a:stretch>
                      <a:fillRect/>
                    </a:stretch>
                  </pic:blipFill>
                  <pic:spPr bwMode="auto">
                    <a:xfrm>
                      <a:off x="0" y="0"/>
                      <a:ext cx="3717600" cy="1517336"/>
                    </a:xfrm>
                    <a:prstGeom prst="rect">
                      <a:avLst/>
                    </a:prstGeom>
                    <a:noFill/>
                    <a:ln w="9525">
                      <a:noFill/>
                      <a:miter lim="800000"/>
                      <a:headEnd/>
                      <a:tailEnd/>
                    </a:ln>
                  </pic:spPr>
                </pic:pic>
              </a:graphicData>
            </a:graphic>
          </wp:inline>
        </w:drawing>
      </w:r>
    </w:p>
    <w:p w:rsidR="00183251" w:rsidRPr="006767C4" w:rsidRDefault="00183251" w:rsidP="00183251">
      <w:pPr>
        <w:rPr>
          <w:sz w:val="28"/>
        </w:rPr>
      </w:pPr>
    </w:p>
    <w:p w:rsidR="00183251" w:rsidRPr="006767C4" w:rsidRDefault="00183251" w:rsidP="00183251">
      <w:pPr>
        <w:rPr>
          <w:sz w:val="28"/>
        </w:rPr>
      </w:pPr>
    </w:p>
    <w:p w:rsidR="00183251" w:rsidRPr="006767C4" w:rsidRDefault="00183251" w:rsidP="00183251">
      <w:pPr>
        <w:rPr>
          <w:sz w:val="28"/>
        </w:rPr>
      </w:pPr>
      <w:r w:rsidRPr="006767C4">
        <w:rPr>
          <w:sz w:val="28"/>
        </w:rPr>
        <w:t>The Big Thaw had 4 major recommendations:</w:t>
      </w:r>
    </w:p>
    <w:p w:rsidR="00183251" w:rsidRPr="006767C4" w:rsidRDefault="00183251" w:rsidP="00183251">
      <w:pPr>
        <w:rPr>
          <w:sz w:val="28"/>
        </w:rPr>
      </w:pPr>
      <w:r w:rsidRPr="006767C4">
        <w:rPr>
          <w:noProof/>
          <w:sz w:val="28"/>
        </w:rPr>
        <w:drawing>
          <wp:inline distT="0" distB="0" distL="0" distR="0">
            <wp:extent cx="5652135" cy="1602740"/>
            <wp:effectExtent l="0" t="0" r="0" b="0"/>
            <wp:docPr id="17" name="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78225" cy="1735138"/>
                      <a:chOff x="5668963" y="1327150"/>
                      <a:chExt cx="3578225" cy="1735138"/>
                    </a:xfrm>
                  </a:grpSpPr>
                  <a:sp>
                    <a:nvSpPr>
                      <a:cNvPr id="11" name="Rectangle 13"/>
                      <a:cNvSpPr>
                        <a:spLocks/>
                      </a:cNvSpPr>
                    </a:nvSpPr>
                    <a:spPr bwMode="auto">
                      <a:xfrm>
                        <a:off x="5668963" y="1327150"/>
                        <a:ext cx="3308350" cy="409575"/>
                      </a:xfrm>
                      <a:prstGeom prst="rect">
                        <a:avLst/>
                      </a:prstGeom>
                      <a:noFill/>
                      <a:ln w="12700">
                        <a:noFill/>
                        <a:miter lim="800000"/>
                        <a:headEnd/>
                        <a:tailEnd/>
                      </a:ln>
                    </a:spPr>
                    <a:txSp>
                      <a:txBody>
                        <a:bodyPr lIns="0" tIns="0" rIns="28447" bIns="0">
                          <a:prstTxWarp prst="textNoShape">
                            <a:avLst/>
                          </a:prstTxWarp>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marL="26988">
                            <a:lnSpc>
                              <a:spcPct val="85000"/>
                            </a:lnSpc>
                            <a:spcBef>
                              <a:spcPts val="275"/>
                            </a:spcBef>
                            <a:tabLst>
                              <a:tab pos="117475" algn="l"/>
                              <a:tab pos="200025" algn="l"/>
                              <a:tab pos="277813" algn="l"/>
                            </a:tabLst>
                          </a:pPr>
                          <a:r>
                            <a:rPr lang="en-US" sz="2100" b="1">
                              <a:solidFill>
                                <a:srgbClr val="FF6600"/>
                              </a:solidFill>
                              <a:latin typeface="Tw Cen MT Condensed" charset="0"/>
                              <a:ea typeface="Arial" charset="0"/>
                              <a:cs typeface="Arial" charset="0"/>
                            </a:rPr>
                            <a:t>CHANGE INTERNALLY</a:t>
                          </a:r>
                          <a:endParaRPr lang="en-US" sz="2100">
                            <a:solidFill>
                              <a:srgbClr val="FF6600"/>
                            </a:solidFill>
                            <a:latin typeface="Tw Cen MT Condensed" charset="0"/>
                            <a:ea typeface="Arial" charset="0"/>
                            <a:cs typeface="Arial" charset="0"/>
                          </a:endParaRPr>
                        </a:p>
                      </a:txBody>
                      <a:useSpRect/>
                    </a:txSp>
                  </a:sp>
                  <a:sp>
                    <a:nvSpPr>
                      <a:cNvPr id="12" name="Rectangle 11"/>
                      <a:cNvSpPr>
                        <a:spLocks noChangeArrowheads="1"/>
                      </a:cNvSpPr>
                    </a:nvSpPr>
                    <a:spPr bwMode="auto">
                      <a:xfrm>
                        <a:off x="6361113" y="1966913"/>
                        <a:ext cx="2886075" cy="1095375"/>
                      </a:xfrm>
                      <a:prstGeom prst="rect">
                        <a:avLst/>
                      </a:prstGeom>
                      <a:noFill/>
                      <a:ln w="9525">
                        <a:noFill/>
                        <a:miter lim="800000"/>
                        <a:headEnd/>
                        <a:tailEnd/>
                      </a:ln>
                    </a:spPr>
                    <a:txSp>
                      <a:txBody>
                        <a:bodyPr lIns="64008" tIns="32004" rIns="64008" bIns="32004">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a:lnSpc>
                              <a:spcPts val="2238"/>
                            </a:lnSpc>
                          </a:pPr>
                          <a:r>
                            <a:rPr lang="en-US" sz="2200" b="1" i="1">
                              <a:latin typeface="Tw Cen MT" charset="0"/>
                              <a:ea typeface="Tw Cen MT" charset="0"/>
                              <a:cs typeface="Tw Cen MT" charset="0"/>
                            </a:rPr>
                            <a:t>New models will </a:t>
                          </a:r>
                          <a:br>
                            <a:rPr lang="en-US" sz="2200" b="1" i="1">
                              <a:latin typeface="Tw Cen MT" charset="0"/>
                              <a:ea typeface="Tw Cen MT" charset="0"/>
                              <a:cs typeface="Tw Cen MT" charset="0"/>
                            </a:rPr>
                          </a:br>
                          <a:r>
                            <a:rPr lang="en-US" sz="2200" b="1" i="1">
                              <a:latin typeface="Tw Cen MT" charset="0"/>
                              <a:ea typeface="Tw Cen MT" charset="0"/>
                              <a:cs typeface="Tw Cen MT" charset="0"/>
                            </a:rPr>
                            <a:t>most likely come from new players.</a:t>
                          </a:r>
                          <a:r>
                            <a:rPr lang="en-US" sz="2200" b="1">
                              <a:latin typeface="Tw Cen MT" charset="0"/>
                              <a:ea typeface="Tw Cen MT" charset="0"/>
                              <a:cs typeface="Tw Cen MT" charset="0"/>
                            </a:rPr>
                            <a:t> </a:t>
                          </a:r>
                        </a:p>
                        <a:p>
                          <a:endParaRPr lang="en-US" sz="1200">
                            <a:latin typeface="Tw Cen MT" charset="0"/>
                            <a:ea typeface="Tw Cen MT" charset="0"/>
                            <a:cs typeface="Tw Cen MT" charset="0"/>
                          </a:endParaRPr>
                        </a:p>
                      </a:txBody>
                      <a:useSpRect/>
                    </a:txSp>
                  </a:sp>
                </lc:lockedCanvas>
              </a:graphicData>
            </a:graphic>
          </wp:inline>
        </w:drawing>
      </w:r>
    </w:p>
    <w:p w:rsidR="00183251" w:rsidRPr="006767C4" w:rsidRDefault="005B7961" w:rsidP="00183251">
      <w:pPr>
        <w:rPr>
          <w:sz w:val="28"/>
        </w:rPr>
      </w:pPr>
      <w:r w:rsidRPr="006767C4">
        <w:rPr>
          <w:noProof/>
          <w:sz w:val="28"/>
        </w:rPr>
        <w:drawing>
          <wp:inline distT="0" distB="0" distL="0" distR="0">
            <wp:extent cx="5766435" cy="1945640"/>
            <wp:effectExtent l="0" t="0" r="0" b="0"/>
            <wp:docPr id="4"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7162" cy="1776413"/>
                      <a:chOff x="5668963" y="3702050"/>
                      <a:chExt cx="3967162" cy="1776413"/>
                    </a:xfrm>
                  </a:grpSpPr>
                  <a:sp>
                    <a:nvSpPr>
                      <a:cNvPr id="14" name="Rectangle 13"/>
                      <a:cNvSpPr>
                        <a:spLocks/>
                      </a:cNvSpPr>
                    </a:nvSpPr>
                    <a:spPr bwMode="auto">
                      <a:xfrm>
                        <a:off x="6327775" y="3702050"/>
                        <a:ext cx="3308350" cy="411163"/>
                      </a:xfrm>
                      <a:prstGeom prst="rect">
                        <a:avLst/>
                      </a:prstGeom>
                      <a:noFill/>
                      <a:ln w="12700">
                        <a:noFill/>
                        <a:miter lim="800000"/>
                        <a:headEnd/>
                        <a:tailEnd/>
                      </a:ln>
                    </a:spPr>
                    <a:txSp>
                      <a:txBody>
                        <a:bodyPr lIns="0" tIns="0" rIns="28447" bIns="0">
                          <a:prstTxWarp prst="textNoShape">
                            <a:avLst/>
                          </a:prstTxWarp>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marL="26988">
                            <a:lnSpc>
                              <a:spcPct val="85000"/>
                            </a:lnSpc>
                            <a:spcBef>
                              <a:spcPts val="275"/>
                            </a:spcBef>
                            <a:tabLst>
                              <a:tab pos="117475" algn="l"/>
                              <a:tab pos="200025" algn="l"/>
                              <a:tab pos="277813" algn="l"/>
                            </a:tabLst>
                          </a:pPr>
                          <a:r>
                            <a:rPr lang="en-US" sz="2100" b="1">
                              <a:solidFill>
                                <a:srgbClr val="FF6600"/>
                              </a:solidFill>
                              <a:latin typeface="Tw Cen MT Condensed" charset="0"/>
                              <a:ea typeface="Arial" charset="0"/>
                              <a:cs typeface="Arial" charset="0"/>
                            </a:rPr>
                            <a:t>INCREASE EXPERIMENTATION</a:t>
                          </a:r>
                          <a:endParaRPr lang="en-US" sz="2100">
                            <a:solidFill>
                              <a:srgbClr val="FF6600"/>
                            </a:solidFill>
                            <a:latin typeface="Tw Cen MT Condensed" charset="0"/>
                            <a:ea typeface="Arial" charset="0"/>
                            <a:cs typeface="Arial" charset="0"/>
                          </a:endParaRPr>
                        </a:p>
                      </a:txBody>
                      <a:useSpRect/>
                    </a:txSp>
                  </a:sp>
                  <a:sp>
                    <a:nvSpPr>
                      <a:cNvPr id="15" name="Rectangle 14"/>
                      <a:cNvSpPr>
                        <a:spLocks noChangeArrowheads="1"/>
                      </a:cNvSpPr>
                    </a:nvSpPr>
                    <a:spPr bwMode="auto">
                      <a:xfrm>
                        <a:off x="5668963" y="4551363"/>
                        <a:ext cx="3475037" cy="927100"/>
                      </a:xfrm>
                      <a:prstGeom prst="rect">
                        <a:avLst/>
                      </a:prstGeom>
                      <a:noFill/>
                      <a:ln w="9525">
                        <a:noFill/>
                        <a:miter lim="800000"/>
                        <a:headEnd/>
                        <a:tailEnd/>
                      </a:ln>
                    </a:spPr>
                    <a:txSp>
                      <a:txBody>
                        <a:bodyPr lIns="64008" tIns="32004" rIns="64008" bIns="32004">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r>
                            <a:rPr lang="en-US" sz="2200" b="1" i="1">
                              <a:latin typeface="Tw Cen MT" charset="0"/>
                              <a:ea typeface="Tw Cen MT" charset="0"/>
                              <a:cs typeface="Tw Cen MT" charset="0"/>
                            </a:rPr>
                            <a:t>Greater </a:t>
                          </a:r>
                        </a:p>
                        <a:p>
                          <a:r>
                            <a:rPr lang="en-US" sz="2200" b="1" i="1">
                              <a:latin typeface="Tw Cen MT" charset="0"/>
                              <a:ea typeface="Tw Cen MT" charset="0"/>
                              <a:cs typeface="Tw Cen MT" charset="0"/>
                            </a:rPr>
                            <a:t>Experimentation will win.</a:t>
                          </a:r>
                          <a:r>
                            <a:rPr lang="en-US" sz="2200" b="1">
                              <a:latin typeface="Tw Cen MT" charset="0"/>
                              <a:ea typeface="Tw Cen MT" charset="0"/>
                              <a:cs typeface="Tw Cen MT" charset="0"/>
                            </a:rPr>
                            <a:t> </a:t>
                          </a:r>
                        </a:p>
                        <a:p>
                          <a:endParaRPr lang="en-US" sz="1200">
                            <a:latin typeface="Tw Cen MT" charset="0"/>
                            <a:ea typeface="Tw Cen MT" charset="0"/>
                            <a:cs typeface="Tw Cen MT" charset="0"/>
                          </a:endParaRPr>
                        </a:p>
                      </a:txBody>
                      <a:useSpRect/>
                    </a:txSp>
                  </a:sp>
                </lc:lockedCanvas>
              </a:graphicData>
            </a:graphic>
          </wp:inline>
        </w:drawing>
      </w:r>
    </w:p>
    <w:p w:rsidR="00183251" w:rsidRPr="006767C4" w:rsidRDefault="00183251" w:rsidP="00183251">
      <w:pPr>
        <w:rPr>
          <w:sz w:val="28"/>
        </w:rPr>
      </w:pPr>
      <w:r w:rsidRPr="006767C4">
        <w:rPr>
          <w:noProof/>
          <w:sz w:val="28"/>
        </w:rPr>
        <w:drawing>
          <wp:inline distT="0" distB="0" distL="0" distR="0">
            <wp:extent cx="5652135" cy="2225040"/>
            <wp:effectExtent l="0" t="0" r="0" b="0"/>
            <wp:docPr id="21" name="O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529012" cy="1931987"/>
                      <a:chOff x="223838" y="3659188"/>
                      <a:chExt cx="3529012" cy="1931987"/>
                    </a:xfrm>
                  </a:grpSpPr>
                  <a:sp>
                    <a:nvSpPr>
                      <a:cNvPr id="16" name="Rectangle 13"/>
                      <a:cNvSpPr>
                        <a:spLocks/>
                      </a:cNvSpPr>
                    </a:nvSpPr>
                    <a:spPr bwMode="auto">
                      <a:xfrm>
                        <a:off x="254000" y="3659188"/>
                        <a:ext cx="3030538" cy="687387"/>
                      </a:xfrm>
                      <a:prstGeom prst="rect">
                        <a:avLst/>
                      </a:prstGeom>
                      <a:noFill/>
                      <a:ln w="12700">
                        <a:noFill/>
                        <a:miter lim="800000"/>
                        <a:headEnd/>
                        <a:tailEnd/>
                      </a:ln>
                    </a:spPr>
                    <a:txSp>
                      <a:txBody>
                        <a:bodyPr lIns="0" tIns="0" rIns="28447" bIns="0">
                          <a:prstTxWarp prst="textNoShape">
                            <a:avLst/>
                          </a:prstTxWarp>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marL="26988">
                            <a:lnSpc>
                              <a:spcPct val="85000"/>
                            </a:lnSpc>
                            <a:spcBef>
                              <a:spcPts val="275"/>
                            </a:spcBef>
                            <a:tabLst>
                              <a:tab pos="117475" algn="l"/>
                              <a:tab pos="200025" algn="l"/>
                              <a:tab pos="277813" algn="l"/>
                            </a:tabLst>
                          </a:pPr>
                          <a:r>
                            <a:rPr lang="en-US" sz="2100" b="1">
                              <a:solidFill>
                                <a:srgbClr val="FF6600"/>
                              </a:solidFill>
                              <a:latin typeface="Tw Cen MT Condensed" charset="0"/>
                              <a:ea typeface="Arial" charset="0"/>
                              <a:cs typeface="Arial" charset="0"/>
                            </a:rPr>
                            <a:t>LEVERAGE UNIQUE ROLE OF CONSORITUM</a:t>
                          </a:r>
                          <a:endParaRPr lang="en-US" sz="2100">
                            <a:solidFill>
                              <a:srgbClr val="FF6600"/>
                            </a:solidFill>
                            <a:latin typeface="Tw Cen MT Condensed" charset="0"/>
                            <a:ea typeface="Arial" charset="0"/>
                            <a:cs typeface="Arial" charset="0"/>
                          </a:endParaRPr>
                        </a:p>
                      </a:txBody>
                      <a:useSpRect/>
                    </a:txSp>
                  </a:sp>
                  <a:sp>
                    <a:nvSpPr>
                      <a:cNvPr id="17" name="Rectangle 16"/>
                      <a:cNvSpPr>
                        <a:spLocks noChangeArrowheads="1"/>
                      </a:cNvSpPr>
                    </a:nvSpPr>
                    <a:spPr bwMode="auto">
                      <a:xfrm>
                        <a:off x="223838" y="4664075"/>
                        <a:ext cx="3529012" cy="927100"/>
                      </a:xfrm>
                      <a:prstGeom prst="rect">
                        <a:avLst/>
                      </a:prstGeom>
                      <a:noFill/>
                      <a:ln w="9525">
                        <a:noFill/>
                        <a:miter lim="800000"/>
                        <a:headEnd/>
                        <a:tailEnd/>
                      </a:ln>
                    </a:spPr>
                    <a:txSp>
                      <a:txBody>
                        <a:bodyPr lIns="64008" tIns="32004" rIns="64008" bIns="32004">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r>
                            <a:rPr lang="en-US" sz="2200" b="1" i="1">
                              <a:latin typeface="Tw Cen MT" charset="0"/>
                              <a:ea typeface="Tw Cen MT" charset="0"/>
                              <a:cs typeface="Tw Cen MT" charset="0"/>
                            </a:rPr>
                            <a:t>Standing together will be more valuable than working alone.</a:t>
                          </a:r>
                          <a:r>
                            <a:rPr lang="en-US" sz="2200" b="1">
                              <a:latin typeface="Tw Cen MT" charset="0"/>
                              <a:ea typeface="Tw Cen MT" charset="0"/>
                              <a:cs typeface="Tw Cen MT" charset="0"/>
                            </a:rPr>
                            <a:t> </a:t>
                          </a:r>
                        </a:p>
                        <a:p>
                          <a:endParaRPr lang="en-US" sz="1200">
                            <a:latin typeface="Tw Cen MT" charset="0"/>
                            <a:ea typeface="Tw Cen MT" charset="0"/>
                            <a:cs typeface="Tw Cen MT" charset="0"/>
                          </a:endParaRPr>
                        </a:p>
                      </a:txBody>
                      <a:useSpRect/>
                    </a:txSp>
                  </a:sp>
                </lc:lockedCanvas>
              </a:graphicData>
            </a:graphic>
          </wp:inline>
        </w:drawing>
      </w:r>
    </w:p>
    <w:p w:rsidR="00183251" w:rsidRPr="006767C4" w:rsidRDefault="00183251" w:rsidP="00183251">
      <w:pPr>
        <w:rPr>
          <w:sz w:val="28"/>
        </w:rPr>
      </w:pPr>
    </w:p>
    <w:p w:rsidR="00183251" w:rsidRPr="006767C4" w:rsidRDefault="00183251" w:rsidP="00183251">
      <w:pPr>
        <w:rPr>
          <w:sz w:val="28"/>
        </w:rPr>
      </w:pPr>
      <w:r w:rsidRPr="006767C4">
        <w:rPr>
          <w:noProof/>
          <w:sz w:val="28"/>
        </w:rPr>
        <w:drawing>
          <wp:inline distT="0" distB="0" distL="0" distR="0">
            <wp:extent cx="5880735" cy="1869440"/>
            <wp:effectExtent l="0" t="0" r="0" b="0"/>
            <wp:docPr id="22" name="O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060825" cy="1768475"/>
                      <a:chOff x="233363" y="1327150"/>
                      <a:chExt cx="4060825" cy="1768475"/>
                    </a:xfrm>
                  </a:grpSpPr>
                  <a:sp>
                    <a:nvSpPr>
                      <a:cNvPr id="18" name="Rectangle 13"/>
                      <a:cNvSpPr>
                        <a:spLocks/>
                      </a:cNvSpPr>
                    </a:nvSpPr>
                    <a:spPr bwMode="auto">
                      <a:xfrm>
                        <a:off x="273050" y="1327150"/>
                        <a:ext cx="4021138" cy="409575"/>
                      </a:xfrm>
                      <a:prstGeom prst="rect">
                        <a:avLst/>
                      </a:prstGeom>
                      <a:noFill/>
                      <a:ln w="12700">
                        <a:noFill/>
                        <a:miter lim="800000"/>
                        <a:headEnd/>
                        <a:tailEnd/>
                      </a:ln>
                    </a:spPr>
                    <a:txSp>
                      <a:txBody>
                        <a:bodyPr lIns="0" tIns="0" rIns="28447" bIns="0">
                          <a:prstTxWarp prst="textNoShape">
                            <a:avLst/>
                          </a:prstTxWarp>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marL="26988">
                            <a:lnSpc>
                              <a:spcPct val="85000"/>
                            </a:lnSpc>
                            <a:spcBef>
                              <a:spcPts val="275"/>
                            </a:spcBef>
                            <a:tabLst>
                              <a:tab pos="117475" algn="l"/>
                              <a:tab pos="200025" algn="l"/>
                              <a:tab pos="277813" algn="l"/>
                            </a:tabLst>
                          </a:pPr>
                          <a:r>
                            <a:rPr lang="en-US" sz="2100" b="1">
                              <a:solidFill>
                                <a:srgbClr val="FF6600"/>
                              </a:solidFill>
                              <a:latin typeface="Tw Cen MT Condensed" charset="0"/>
                              <a:ea typeface="Arial" charset="0"/>
                              <a:cs typeface="Arial" charset="0"/>
                            </a:rPr>
                            <a:t>BUILDING AUDIENCES AS COMMUNITIES</a:t>
                          </a:r>
                          <a:endParaRPr lang="en-US" sz="2100">
                            <a:solidFill>
                              <a:srgbClr val="FF6600"/>
                            </a:solidFill>
                            <a:latin typeface="Tw Cen MT Condensed" charset="0"/>
                            <a:ea typeface="Arial" charset="0"/>
                            <a:cs typeface="Arial" charset="0"/>
                          </a:endParaRPr>
                        </a:p>
                      </a:txBody>
                      <a:useSpRect/>
                    </a:txSp>
                  </a:sp>
                  <a:sp>
                    <a:nvSpPr>
                      <a:cNvPr id="19" name="Rectangle 18"/>
                      <a:cNvSpPr>
                        <a:spLocks noChangeArrowheads="1"/>
                      </a:cNvSpPr>
                    </a:nvSpPr>
                    <a:spPr bwMode="auto">
                      <a:xfrm>
                        <a:off x="233363" y="2000250"/>
                        <a:ext cx="3051175" cy="1095375"/>
                      </a:xfrm>
                      <a:prstGeom prst="rect">
                        <a:avLst/>
                      </a:prstGeom>
                      <a:noFill/>
                      <a:ln w="9525">
                        <a:noFill/>
                        <a:miter lim="800000"/>
                        <a:headEnd/>
                        <a:tailEnd/>
                      </a:ln>
                    </a:spPr>
                    <a:txSp>
                      <a:txBody>
                        <a:bodyPr lIns="64008" tIns="32004" rIns="64008" bIns="32004">
                          <a:prstTxWarp prst="textNoShape">
                            <a:avLst/>
                          </a:prstTxWarp>
                          <a:spAutoFit/>
                        </a:bodyPr>
                        <a:lstStyle>
                          <a:defPPr>
                            <a:defRPr lang="en-US"/>
                          </a:defPPr>
                          <a:lvl1pPr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defTabSz="457200"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pPr>
                            <a:lnSpc>
                              <a:spcPts val="2238"/>
                            </a:lnSpc>
                          </a:pPr>
                          <a:r>
                            <a:rPr lang="en-US" sz="2200" b="1" i="1" dirty="0">
                              <a:latin typeface="Tw Cen MT" charset="0"/>
                              <a:ea typeface="Tw Cen MT" charset="0"/>
                              <a:cs typeface="Tw Cen MT" charset="0"/>
                            </a:rPr>
                            <a:t>Decentralized communities will create the greatest impact.</a:t>
                          </a:r>
                          <a:r>
                            <a:rPr lang="en-US" sz="2200" b="1" dirty="0">
                              <a:latin typeface="Tw Cen MT" charset="0"/>
                              <a:ea typeface="Tw Cen MT" charset="0"/>
                              <a:cs typeface="Tw Cen MT" charset="0"/>
                            </a:rPr>
                            <a:t> </a:t>
                          </a:r>
                        </a:p>
                        <a:p>
                          <a:endParaRPr lang="en-US" sz="1200" dirty="0">
                            <a:latin typeface="Tw Cen MT" charset="0"/>
                            <a:ea typeface="Tw Cen MT" charset="0"/>
                            <a:cs typeface="Tw Cen MT" charset="0"/>
                          </a:endParaRPr>
                        </a:p>
                      </a:txBody>
                      <a:useSpRect/>
                    </a:txSp>
                  </a:sp>
                </lc:lockedCanvas>
              </a:graphicData>
            </a:graphic>
          </wp:inline>
        </w:drawing>
      </w:r>
    </w:p>
    <w:p w:rsidR="00183251" w:rsidRPr="006767C4" w:rsidRDefault="00183251" w:rsidP="00183251">
      <w:pPr>
        <w:rPr>
          <w:sz w:val="28"/>
        </w:rPr>
      </w:pPr>
    </w:p>
    <w:p w:rsidR="00183251" w:rsidRPr="006767C4" w:rsidRDefault="00183251" w:rsidP="00183251">
      <w:pPr>
        <w:rPr>
          <w:sz w:val="28"/>
        </w:rPr>
      </w:pPr>
    </w:p>
    <w:p w:rsidR="005E1717" w:rsidRPr="006767C4" w:rsidRDefault="00CB1480" w:rsidP="00183251">
      <w:pPr>
        <w:rPr>
          <w:sz w:val="28"/>
        </w:rPr>
      </w:pPr>
      <w:r w:rsidRPr="006767C4">
        <w:rPr>
          <w:sz w:val="28"/>
        </w:rPr>
        <w:t>Launch of II Labs:</w:t>
      </w:r>
      <w:r w:rsidR="008E2CEE" w:rsidRPr="006767C4">
        <w:rPr>
          <w:sz w:val="28"/>
        </w:rPr>
        <w:t xml:space="preserve"> EXPLAIN THE INCUBATION AND INNOVATION LABS</w:t>
      </w:r>
    </w:p>
    <w:p w:rsidR="005E1717" w:rsidRPr="006767C4" w:rsidRDefault="005E1717" w:rsidP="005E1717">
      <w:pPr>
        <w:rPr>
          <w:sz w:val="28"/>
        </w:rPr>
      </w:pPr>
      <w:r w:rsidRPr="006767C4">
        <w:rPr>
          <w:sz w:val="28"/>
        </w:rPr>
        <w:t>Research, collaboration, talking to experts, seed money</w:t>
      </w:r>
    </w:p>
    <w:p w:rsidR="00CB1480" w:rsidRPr="006767C4" w:rsidRDefault="00CB1480" w:rsidP="00183251">
      <w:pPr>
        <w:rPr>
          <w:sz w:val="28"/>
        </w:rPr>
      </w:pPr>
    </w:p>
    <w:p w:rsidR="00CB1480" w:rsidRPr="006767C4" w:rsidRDefault="00CB1480" w:rsidP="00183251">
      <w:pPr>
        <w:rPr>
          <w:sz w:val="28"/>
        </w:rPr>
      </w:pPr>
      <w:r w:rsidRPr="006767C4">
        <w:rPr>
          <w:sz w:val="28"/>
        </w:rPr>
        <w:t>Small group labs</w:t>
      </w:r>
    </w:p>
    <w:p w:rsidR="00CB1480" w:rsidRPr="006767C4" w:rsidRDefault="00CB1480" w:rsidP="00CB1480">
      <w:pPr>
        <w:rPr>
          <w:rFonts w:ascii="Times New Roman" w:hAnsi="Times New Roman"/>
          <w:b/>
          <w:sz w:val="28"/>
        </w:rPr>
      </w:pPr>
      <w:r w:rsidRPr="006767C4">
        <w:rPr>
          <w:rFonts w:ascii="Times New Roman" w:hAnsi="Times New Roman"/>
          <w:sz w:val="28"/>
        </w:rPr>
        <w:t xml:space="preserve">Within the Digital Innovation Studio, The Media Consortium has recruited over a dozen media organizations to participate in one or more of the following labs. </w:t>
      </w:r>
    </w:p>
    <w:p w:rsidR="00CB1480" w:rsidRPr="006767C4" w:rsidRDefault="00CB1480" w:rsidP="00CB1480">
      <w:pPr>
        <w:pStyle w:val="ListParagraph"/>
        <w:numPr>
          <w:ilvl w:val="0"/>
          <w:numId w:val="2"/>
        </w:numPr>
        <w:spacing w:after="120"/>
        <w:rPr>
          <w:rFonts w:ascii="Times New Roman" w:hAnsi="Times New Roman"/>
          <w:sz w:val="28"/>
        </w:rPr>
      </w:pPr>
      <w:r w:rsidRPr="006767C4">
        <w:rPr>
          <w:rFonts w:ascii="Times New Roman" w:hAnsi="Times New Roman"/>
          <w:sz w:val="28"/>
        </w:rPr>
        <w:t xml:space="preserve">Moving into mobile: Cell phones, e-readers, and </w:t>
      </w:r>
      <w:proofErr w:type="spellStart"/>
      <w:r w:rsidRPr="006767C4">
        <w:rPr>
          <w:rFonts w:ascii="Times New Roman" w:hAnsi="Times New Roman"/>
          <w:sz w:val="28"/>
        </w:rPr>
        <w:t>iPads</w:t>
      </w:r>
      <w:proofErr w:type="spellEnd"/>
      <w:r w:rsidRPr="006767C4">
        <w:rPr>
          <w:rFonts w:ascii="Times New Roman" w:hAnsi="Times New Roman"/>
          <w:sz w:val="28"/>
        </w:rPr>
        <w:t>, oh my!</w:t>
      </w:r>
    </w:p>
    <w:p w:rsidR="00CB1480" w:rsidRPr="006767C4" w:rsidRDefault="00CB1480" w:rsidP="00CB1480">
      <w:pPr>
        <w:pStyle w:val="ListParagraph"/>
        <w:numPr>
          <w:ilvl w:val="0"/>
          <w:numId w:val="2"/>
        </w:numPr>
        <w:spacing w:after="120"/>
        <w:rPr>
          <w:rFonts w:ascii="Times New Roman" w:hAnsi="Times New Roman"/>
          <w:sz w:val="28"/>
        </w:rPr>
      </w:pPr>
      <w:r w:rsidRPr="006767C4">
        <w:rPr>
          <w:rFonts w:ascii="Times New Roman" w:hAnsi="Times New Roman"/>
          <w:sz w:val="28"/>
        </w:rPr>
        <w:t>Integrating journalism with community engagement and building models</w:t>
      </w:r>
    </w:p>
    <w:p w:rsidR="00CB1480" w:rsidRPr="006767C4" w:rsidRDefault="00CB1480" w:rsidP="00CB1480">
      <w:pPr>
        <w:pStyle w:val="ListParagraph"/>
        <w:numPr>
          <w:ilvl w:val="0"/>
          <w:numId w:val="2"/>
        </w:numPr>
        <w:spacing w:after="120"/>
        <w:rPr>
          <w:rFonts w:ascii="Times New Roman" w:hAnsi="Times New Roman"/>
          <w:sz w:val="28"/>
        </w:rPr>
      </w:pPr>
      <w:r w:rsidRPr="006767C4">
        <w:rPr>
          <w:rFonts w:ascii="Times New Roman" w:hAnsi="Times New Roman"/>
          <w:sz w:val="28"/>
        </w:rPr>
        <w:t xml:space="preserve">Experimenting with new revenue-generating opportunities </w:t>
      </w:r>
    </w:p>
    <w:p w:rsidR="00CB1480" w:rsidRPr="006767C4" w:rsidRDefault="00CB1480" w:rsidP="00282F5E">
      <w:pPr>
        <w:pStyle w:val="ListParagraph"/>
        <w:ind w:left="780"/>
        <w:rPr>
          <w:rFonts w:ascii="Times New Roman" w:eastAsia="Times New Roman" w:hAnsi="Times New Roman"/>
          <w:i/>
          <w:sz w:val="28"/>
        </w:rPr>
      </w:pPr>
    </w:p>
    <w:p w:rsidR="00CB1480" w:rsidRPr="006767C4" w:rsidRDefault="00CB1480" w:rsidP="00CB1480">
      <w:pPr>
        <w:spacing w:after="120"/>
        <w:ind w:left="60"/>
        <w:rPr>
          <w:rFonts w:ascii="Times New Roman" w:eastAsia="Times New Roman" w:hAnsi="Times New Roman"/>
          <w:sz w:val="28"/>
        </w:rPr>
      </w:pPr>
      <w:r w:rsidRPr="006767C4">
        <w:rPr>
          <w:rFonts w:ascii="Times New Roman" w:eastAsia="Times New Roman" w:hAnsi="Times New Roman"/>
          <w:sz w:val="28"/>
        </w:rPr>
        <w:t>With these small-group labs, The Media Consortium's goals are to support deep learning and incremental shifts for TMC members to develop new models for revenue generation, audience development, and editorial content. Cumulatively, these labs will catalyze a broad shift in how independent media outlets survive and thrive in a 21st century landscape. In addition to organizing the labs, The Media Consortium is providing seed money to help incubate a collaborative experiment for each lab.</w:t>
      </w:r>
    </w:p>
    <w:p w:rsidR="005E013A" w:rsidRPr="006767C4" w:rsidRDefault="005E013A" w:rsidP="00CB1480">
      <w:pPr>
        <w:rPr>
          <w:rFonts w:ascii="Times New Roman" w:eastAsia="Times New Roman" w:hAnsi="Times New Roman"/>
          <w:sz w:val="28"/>
        </w:rPr>
      </w:pPr>
    </w:p>
    <w:p w:rsidR="00CB1480" w:rsidRPr="006767C4" w:rsidRDefault="005E013A" w:rsidP="00CB1480">
      <w:pPr>
        <w:rPr>
          <w:rFonts w:ascii="Times New Roman" w:hAnsi="Times New Roman"/>
          <w:sz w:val="28"/>
        </w:rPr>
      </w:pPr>
      <w:r w:rsidRPr="006767C4">
        <w:rPr>
          <w:rFonts w:ascii="Times New Roman" w:eastAsia="Times New Roman" w:hAnsi="Times New Roman"/>
          <w:sz w:val="28"/>
        </w:rPr>
        <w:t xml:space="preserve">Explain </w:t>
      </w:r>
      <w:proofErr w:type="spellStart"/>
      <w:r w:rsidRPr="006767C4">
        <w:rPr>
          <w:rFonts w:ascii="Times New Roman" w:eastAsia="Times New Roman" w:hAnsi="Times New Roman"/>
          <w:sz w:val="28"/>
        </w:rPr>
        <w:t>Hackathon</w:t>
      </w:r>
      <w:proofErr w:type="spellEnd"/>
    </w:p>
    <w:p w:rsidR="005E1717" w:rsidRPr="006767C4" w:rsidRDefault="005E1717" w:rsidP="00183251">
      <w:pPr>
        <w:rPr>
          <w:sz w:val="28"/>
        </w:rPr>
      </w:pPr>
    </w:p>
    <w:p w:rsidR="005E1717" w:rsidRPr="006767C4" w:rsidRDefault="005E1717" w:rsidP="00183251">
      <w:pPr>
        <w:rPr>
          <w:sz w:val="28"/>
        </w:rPr>
      </w:pPr>
    </w:p>
    <w:p w:rsidR="005E1717" w:rsidRPr="006767C4" w:rsidRDefault="005E1717" w:rsidP="00183251">
      <w:pPr>
        <w:rPr>
          <w:sz w:val="28"/>
        </w:rPr>
      </w:pPr>
    </w:p>
    <w:p w:rsidR="005E1717" w:rsidRPr="006767C4" w:rsidRDefault="005E1717" w:rsidP="00183251">
      <w:pPr>
        <w:rPr>
          <w:sz w:val="28"/>
        </w:rPr>
      </w:pPr>
      <w:r w:rsidRPr="006767C4">
        <w:rPr>
          <w:sz w:val="28"/>
        </w:rPr>
        <w:t>LEAN AND MEAN</w:t>
      </w:r>
    </w:p>
    <w:p w:rsidR="005E1717" w:rsidRPr="006767C4" w:rsidRDefault="005E1717" w:rsidP="00183251">
      <w:pPr>
        <w:rPr>
          <w:sz w:val="28"/>
        </w:rPr>
      </w:pPr>
    </w:p>
    <w:p w:rsidR="005E1717" w:rsidRPr="006767C4" w:rsidRDefault="005E1717" w:rsidP="00183251">
      <w:pPr>
        <w:rPr>
          <w:sz w:val="28"/>
        </w:rPr>
      </w:pPr>
      <w:r w:rsidRPr="006767C4">
        <w:rPr>
          <w:sz w:val="28"/>
        </w:rPr>
        <w:t xml:space="preserve">MULTIPLE SKILS: </w:t>
      </w:r>
    </w:p>
    <w:p w:rsidR="005E1717" w:rsidRPr="006767C4" w:rsidRDefault="005E1717" w:rsidP="00183251">
      <w:pPr>
        <w:rPr>
          <w:sz w:val="28"/>
        </w:rPr>
      </w:pPr>
      <w:r w:rsidRPr="006767C4">
        <w:rPr>
          <w:sz w:val="28"/>
        </w:rPr>
        <w:t>MOZILLA, OPEN JOURNALISM COURSE</w:t>
      </w:r>
    </w:p>
    <w:p w:rsidR="005E1717" w:rsidRPr="006767C4" w:rsidRDefault="005E1717" w:rsidP="00183251">
      <w:pPr>
        <w:rPr>
          <w:sz w:val="28"/>
        </w:rPr>
      </w:pPr>
    </w:p>
    <w:p w:rsidR="005E1717" w:rsidRPr="006767C4" w:rsidRDefault="005E1717" w:rsidP="00183251">
      <w:pPr>
        <w:rPr>
          <w:sz w:val="28"/>
        </w:rPr>
      </w:pPr>
      <w:r w:rsidRPr="006767C4">
        <w:rPr>
          <w:sz w:val="28"/>
        </w:rPr>
        <w:t>JOURNALISM, HACKERS, NEW MEDIA, BIZ, MARKETING</w:t>
      </w:r>
    </w:p>
    <w:p w:rsidR="005E1717" w:rsidRPr="006767C4" w:rsidRDefault="005E1717" w:rsidP="00183251">
      <w:pPr>
        <w:rPr>
          <w:sz w:val="28"/>
        </w:rPr>
      </w:pPr>
    </w:p>
    <w:p w:rsidR="005E1717" w:rsidRPr="006767C4" w:rsidRDefault="005E1717" w:rsidP="00183251">
      <w:pPr>
        <w:rPr>
          <w:sz w:val="28"/>
        </w:rPr>
      </w:pPr>
    </w:p>
    <w:p w:rsidR="005E1717" w:rsidRPr="006767C4" w:rsidRDefault="005E1717" w:rsidP="00183251">
      <w:pPr>
        <w:rPr>
          <w:sz w:val="28"/>
        </w:rPr>
      </w:pPr>
    </w:p>
    <w:p w:rsidR="00657832" w:rsidRPr="006767C4" w:rsidRDefault="005E1717" w:rsidP="00183251">
      <w:pPr>
        <w:rPr>
          <w:sz w:val="28"/>
        </w:rPr>
      </w:pPr>
      <w:r w:rsidRPr="006767C4">
        <w:rPr>
          <w:sz w:val="28"/>
        </w:rPr>
        <w:t>DON’T EXPECT TO WORK IN ONE PLACE FOR THE REST OF YOUR LIVE</w:t>
      </w:r>
    </w:p>
    <w:sectPr w:rsidR="00657832" w:rsidRPr="006767C4" w:rsidSect="00183251">
      <w:pgSz w:w="12240" w:h="15840"/>
      <w:pgMar w:top="1440" w:right="81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C92"/>
    <w:multiLevelType w:val="hybridMultilevel"/>
    <w:tmpl w:val="E8A49B7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63E7A6B"/>
    <w:multiLevelType w:val="hybridMultilevel"/>
    <w:tmpl w:val="F7369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367F20"/>
    <w:multiLevelType w:val="hybridMultilevel"/>
    <w:tmpl w:val="58E0EE1A"/>
    <w:lvl w:ilvl="0" w:tplc="17E63C3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596A0968"/>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03420"/>
    <w:multiLevelType w:val="hybridMultilevel"/>
    <w:tmpl w:val="321A8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40580"/>
    <w:multiLevelType w:val="hybridMultilevel"/>
    <w:tmpl w:val="7EF88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57832"/>
    <w:rsid w:val="000B686C"/>
    <w:rsid w:val="00183251"/>
    <w:rsid w:val="00282F5E"/>
    <w:rsid w:val="005B7961"/>
    <w:rsid w:val="005D5E1A"/>
    <w:rsid w:val="005E013A"/>
    <w:rsid w:val="005E1717"/>
    <w:rsid w:val="00657832"/>
    <w:rsid w:val="006767C4"/>
    <w:rsid w:val="008E2CEE"/>
    <w:rsid w:val="00C9185B"/>
    <w:rsid w:val="00CB148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6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57832"/>
    <w:pPr>
      <w:ind w:left="720"/>
      <w:contextualSpacing/>
    </w:pPr>
  </w:style>
  <w:style w:type="paragraph" w:styleId="NormalWeb">
    <w:name w:val="Normal (Web)"/>
    <w:basedOn w:val="Normal"/>
    <w:uiPriority w:val="99"/>
    <w:unhideWhenUsed/>
    <w:rsid w:val="00CB14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97289629">
      <w:bodyDiv w:val="1"/>
      <w:marLeft w:val="0"/>
      <w:marRight w:val="0"/>
      <w:marTop w:val="0"/>
      <w:marBottom w:val="0"/>
      <w:divBdr>
        <w:top w:val="none" w:sz="0" w:space="0" w:color="auto"/>
        <w:left w:val="none" w:sz="0" w:space="0" w:color="auto"/>
        <w:bottom w:val="none" w:sz="0" w:space="0" w:color="auto"/>
        <w:right w:val="none" w:sz="0" w:space="0" w:color="auto"/>
      </w:divBdr>
    </w:div>
    <w:div w:id="955796774">
      <w:bodyDiv w:val="1"/>
      <w:marLeft w:val="0"/>
      <w:marRight w:val="0"/>
      <w:marTop w:val="0"/>
      <w:marBottom w:val="0"/>
      <w:divBdr>
        <w:top w:val="none" w:sz="0" w:space="0" w:color="auto"/>
        <w:left w:val="none" w:sz="0" w:space="0" w:color="auto"/>
        <w:bottom w:val="none" w:sz="0" w:space="0" w:color="auto"/>
        <w:right w:val="none" w:sz="0" w:space="0" w:color="auto"/>
      </w:divBdr>
    </w:div>
    <w:div w:id="11030648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358</Words>
  <Characters>2042</Characters>
  <Application>Microsoft Macintosh Word</Application>
  <DocSecurity>0</DocSecurity>
  <Lines>17</Lines>
  <Paragraphs>4</Paragraphs>
  <ScaleCrop>false</ScaleCrop>
  <Company>The Media Consortium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4</cp:revision>
  <dcterms:created xsi:type="dcterms:W3CDTF">2010-10-22T18:29:00Z</dcterms:created>
  <dcterms:modified xsi:type="dcterms:W3CDTF">2010-10-23T14:14:00Z</dcterms:modified>
</cp:coreProperties>
</file>