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16" w:rsidRDefault="00257638">
      <w:pPr>
        <w:rPr>
          <w:b/>
        </w:rPr>
      </w:pPr>
      <w:bookmarkStart w:id="0" w:name="_GoBack"/>
      <w:bookmarkEnd w:id="0"/>
      <w:r>
        <w:rPr>
          <w:b/>
        </w:rPr>
        <w:t>Useful resources:</w:t>
      </w:r>
    </w:p>
    <w:p w:rsidR="00172716" w:rsidRDefault="00257638">
      <w:hyperlink r:id="rId5">
        <w:r>
          <w:rPr>
            <w:color w:val="1155CC"/>
            <w:u w:val="single"/>
          </w:rPr>
          <w:t>http://jces.ua.edu/establishing-and-evaluating-equitable-partnerships/</w:t>
        </w:r>
      </w:hyperlink>
    </w:p>
    <w:p w:rsidR="00172716" w:rsidRDefault="00172716">
      <w:pPr>
        <w:rPr>
          <w:b/>
        </w:rPr>
      </w:pPr>
    </w:p>
    <w:p w:rsidR="00172716" w:rsidRDefault="00257638">
      <w:hyperlink r:id="rId6">
        <w:r>
          <w:rPr>
            <w:color w:val="1155CC"/>
            <w:u w:val="single"/>
          </w:rPr>
          <w:t>https://depts.washington.edu/ccph/pdf_files/p-Michigan042310.pdf</w:t>
        </w:r>
      </w:hyperlink>
    </w:p>
    <w:p w:rsidR="00172716" w:rsidRDefault="00172716">
      <w:pPr>
        <w:rPr>
          <w:b/>
        </w:rPr>
      </w:pPr>
    </w:p>
    <w:p w:rsidR="00172716" w:rsidRDefault="00257638">
      <w:hyperlink r:id="rId7">
        <w:r>
          <w:rPr>
            <w:color w:val="1155CC"/>
            <w:u w:val="single"/>
          </w:rPr>
          <w:t>https://www</w:t>
        </w:r>
        <w:r>
          <w:rPr>
            <w:color w:val="1155CC"/>
            <w:u w:val="single"/>
          </w:rPr>
          <w:t>.sipri.org/publications/2017/other-publications/african-directions</w:t>
        </w:r>
      </w:hyperlink>
    </w:p>
    <w:p w:rsidR="00172716" w:rsidRDefault="00172716"/>
    <w:p w:rsidR="00172716" w:rsidRDefault="00172716"/>
    <w:p w:rsidR="00172716" w:rsidRDefault="00257638">
      <w:r>
        <w:rPr>
          <w:b/>
        </w:rPr>
        <w:t>Main Framework for Equity in Partnerships</w:t>
      </w:r>
    </w:p>
    <w:p w:rsidR="00172716" w:rsidRDefault="00172716">
      <w:pPr>
        <w:rPr>
          <w:b/>
        </w:rPr>
      </w:pPr>
    </w:p>
    <w:p w:rsidR="00172716" w:rsidRDefault="00257638">
      <w:r>
        <w:t>1) Who begins and leads the discussion around the partnership?</w:t>
      </w:r>
    </w:p>
    <w:p w:rsidR="00172716" w:rsidRDefault="00172716"/>
    <w:p w:rsidR="00172716" w:rsidRDefault="00257638">
      <w:r>
        <w:t>2) Who sets up the next steps for the partnership?</w:t>
      </w:r>
    </w:p>
    <w:p w:rsidR="00172716" w:rsidRDefault="00172716"/>
    <w:p w:rsidR="00172716" w:rsidRDefault="00257638">
      <w:r>
        <w:t>3) How do we center the limi</w:t>
      </w:r>
      <w:r>
        <w:t>tations and capacities of people in marginalized groups?</w:t>
      </w:r>
    </w:p>
    <w:p w:rsidR="00172716" w:rsidRDefault="00172716"/>
    <w:p w:rsidR="00172716" w:rsidRDefault="00257638">
      <w:r>
        <w:t>Note: Below are notes from the Transformative Media Conference 2017 (TMC 2017) and our first TMC in Color meeting since then. We could organize them to address the main questions above. (</w:t>
      </w:r>
      <w:proofErr w:type="spellStart"/>
      <w:r>
        <w:t>Manolia</w:t>
      </w:r>
      <w:proofErr w:type="spellEnd"/>
      <w:r>
        <w:t>)</w:t>
      </w:r>
    </w:p>
    <w:p w:rsidR="00172716" w:rsidRDefault="00172716"/>
    <w:p w:rsidR="00172716" w:rsidRDefault="00257638">
      <w:pPr>
        <w:rPr>
          <w:b/>
        </w:rPr>
      </w:pPr>
      <w:r>
        <w:rPr>
          <w:b/>
        </w:rPr>
        <w:t>C</w:t>
      </w:r>
      <w:r>
        <w:rPr>
          <w:b/>
        </w:rPr>
        <w:t>ode as part of Framework</w:t>
      </w:r>
    </w:p>
    <w:p w:rsidR="00172716" w:rsidRDefault="00172716"/>
    <w:p w:rsidR="00172716" w:rsidRDefault="00257638">
      <w:r>
        <w:t>One Sentence Statement of Purpose:</w:t>
      </w:r>
    </w:p>
    <w:p w:rsidR="00172716" w:rsidRDefault="00172716"/>
    <w:p w:rsidR="00172716" w:rsidRDefault="00172716"/>
    <w:p w:rsidR="00172716" w:rsidRDefault="00257638">
      <w:r>
        <w:t>Values: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>Achieving equitable partnerships is an ongoing process.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 xml:space="preserve">Partnerships should be </w:t>
      </w:r>
      <w:proofErr w:type="spellStart"/>
      <w:r>
        <w:t>liberatory</w:t>
      </w:r>
      <w:proofErr w:type="spellEnd"/>
      <w:r>
        <w:t xml:space="preserve"> instead of extractive.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>Partnerships are built on relationships; the product is an outcome of th</w:t>
      </w:r>
      <w:r>
        <w:t>e relationship, rather than vice versa.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 xml:space="preserve">Respect the dignity of each person and outlet in the partnership. 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>Resources should be measured in terms of cultural capital as well as financial capital.</w:t>
      </w:r>
    </w:p>
    <w:p w:rsidR="00172716" w:rsidRDefault="00172716"/>
    <w:p w:rsidR="00172716" w:rsidRDefault="00257638">
      <w:r>
        <w:t>Practices:</w:t>
      </w:r>
    </w:p>
    <w:p w:rsidR="00172716" w:rsidRDefault="00257638">
      <w:pPr>
        <w:numPr>
          <w:ilvl w:val="0"/>
          <w:numId w:val="1"/>
        </w:numPr>
        <w:ind w:hanging="360"/>
        <w:contextualSpacing/>
      </w:pPr>
      <w:r>
        <w:t>Begin by building a relationship with your partners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>Recognize differences of capacity; respect differences in expertise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>Recognize different levels of organizational flexibility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>Recognize the different levels of staffing at different outlets; respect the ro</w:t>
      </w:r>
      <w:r>
        <w:t>le staff play at their own outlet--so at the beginning you bring the decision makers to the table, even if in execution one decision maker works on the project and one doesn’t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>Recognize differences in capacity for reach and outreach. Define commitments aro</w:t>
      </w:r>
      <w:r>
        <w:t xml:space="preserve">und distribution, marketing and PR. </w:t>
      </w:r>
    </w:p>
    <w:p w:rsidR="00172716" w:rsidRDefault="00257638">
      <w:r>
        <w:t>II. Center voices of people of color and historically marginalized people in the partnership.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lastRenderedPageBreak/>
        <w:t>You haven’t gotten the story unless you have understood and conveyed the perspective of the local point of view.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>[vs. tokenis</w:t>
      </w:r>
      <w:r>
        <w:t>m]</w:t>
      </w:r>
    </w:p>
    <w:p w:rsidR="00172716" w:rsidRDefault="00257638">
      <w:r>
        <w:t>III. Set clear expectations.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>Recognize that time itself is a valuable resource. Outlets must agree on the amount of time they will spend on communication: where, how and how often.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 xml:space="preserve">Recognize differences in the number and type of partner supporters. 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>Cla</w:t>
      </w:r>
      <w:r>
        <w:t>rify benefits each of the partners will reap from the partnership, including marketing, rewards, revenue.</w:t>
      </w:r>
    </w:p>
    <w:p w:rsidR="00172716" w:rsidRDefault="00257638">
      <w:pPr>
        <w:numPr>
          <w:ilvl w:val="0"/>
          <w:numId w:val="8"/>
        </w:numPr>
        <w:ind w:hanging="360"/>
        <w:contextualSpacing/>
      </w:pPr>
      <w:r>
        <w:t xml:space="preserve">Recognize when the partnership leads to outsize impact and plan in advance to what extent that unexpected attention and revenue will be shared by all </w:t>
      </w:r>
      <w:r>
        <w:t>the partners.</w:t>
      </w:r>
    </w:p>
    <w:p w:rsidR="00172716" w:rsidRDefault="00257638">
      <w:r>
        <w:t>IV. Stepping Back</w:t>
      </w:r>
    </w:p>
    <w:p w:rsidR="00172716" w:rsidRDefault="00257638">
      <w:pPr>
        <w:numPr>
          <w:ilvl w:val="0"/>
          <w:numId w:val="9"/>
        </w:numPr>
        <w:ind w:hanging="360"/>
        <w:contextualSpacing/>
      </w:pPr>
      <w:r>
        <w:t>Larger outlets must assign someone to the partnership who continually checks and ensures the partnership remains equitable.</w:t>
      </w:r>
    </w:p>
    <w:p w:rsidR="00172716" w:rsidRDefault="00172716"/>
    <w:p w:rsidR="00172716" w:rsidRDefault="00172716"/>
    <w:p w:rsidR="00172716" w:rsidRDefault="00172716"/>
    <w:p w:rsidR="00172716" w:rsidRDefault="00257638">
      <w:r>
        <w:t>Do you have a reserve? If you stop fundraising today, what will happen tomorrow?</w:t>
      </w:r>
    </w:p>
    <w:p w:rsidR="00172716" w:rsidRDefault="00172716"/>
    <w:p w:rsidR="00172716" w:rsidRDefault="00257638">
      <w:r>
        <w:t>***</w:t>
      </w:r>
    </w:p>
    <w:p w:rsidR="00172716" w:rsidRDefault="00172716"/>
    <w:p w:rsidR="00172716" w:rsidRDefault="00257638">
      <w:pPr>
        <w:rPr>
          <w:b/>
        </w:rPr>
      </w:pPr>
      <w:r>
        <w:rPr>
          <w:b/>
        </w:rPr>
        <w:t>TMC in Color April 6 Meeting</w:t>
      </w:r>
    </w:p>
    <w:p w:rsidR="00172716" w:rsidRDefault="00172716"/>
    <w:p w:rsidR="00172716" w:rsidRDefault="00257638">
      <w:proofErr w:type="spellStart"/>
      <w:r>
        <w:t>Adaobi</w:t>
      </w:r>
      <w:proofErr w:type="spellEnd"/>
      <w:r>
        <w:t xml:space="preserve"> </w:t>
      </w:r>
      <w:proofErr w:type="spellStart"/>
      <w:r>
        <w:t>Okolue</w:t>
      </w:r>
      <w:proofErr w:type="spellEnd"/>
      <w:r>
        <w:t xml:space="preserve">, Twin Cities Media Alliance: Ensure that voices of people of color and historically marginalized folks are centered in a way that displays nuances. </w:t>
      </w:r>
    </w:p>
    <w:p w:rsidR="00172716" w:rsidRDefault="00257638">
      <w:r>
        <w:t>Ensure local point of view is honored, since they have better u</w:t>
      </w:r>
      <w:r>
        <w:t>nderstanding of how policies are impacting people on the ground.</w:t>
      </w:r>
    </w:p>
    <w:p w:rsidR="00172716" w:rsidRDefault="00257638">
      <w:r>
        <w:t>Treat local outlets as experts.</w:t>
      </w:r>
    </w:p>
    <w:p w:rsidR="00172716" w:rsidRDefault="00257638">
      <w:r>
        <w:t>Address power dynamics early: outlets that have larger budgets and paid staff tend to set or change agenda.</w:t>
      </w:r>
    </w:p>
    <w:p w:rsidR="00172716" w:rsidRDefault="00172716"/>
    <w:p w:rsidR="00172716" w:rsidRDefault="00257638">
      <w:r>
        <w:t>Carla Wills, Democracy NOW!: Remember it’s an ongoing process.</w:t>
      </w:r>
    </w:p>
    <w:p w:rsidR="00172716" w:rsidRDefault="00257638">
      <w:r>
        <w:t>Even though DN has strong local sources, the team still has to be intentional in setting best practices for local relationships.</w:t>
      </w:r>
    </w:p>
    <w:p w:rsidR="00172716" w:rsidRDefault="00172716"/>
    <w:p w:rsidR="00172716" w:rsidRDefault="00172716"/>
    <w:p w:rsidR="00172716" w:rsidRDefault="00257638">
      <w:r>
        <w:t>***</w:t>
      </w:r>
    </w:p>
    <w:p w:rsidR="00172716" w:rsidRDefault="00172716"/>
    <w:p w:rsidR="00172716" w:rsidRDefault="00257638">
      <w:pPr>
        <w:rPr>
          <w:b/>
        </w:rPr>
      </w:pPr>
      <w:r>
        <w:rPr>
          <w:b/>
        </w:rPr>
        <w:t>"Strategies for Equitable Partnerships" Conversation Circ</w:t>
      </w:r>
      <w:r>
        <w:rPr>
          <w:b/>
        </w:rPr>
        <w:t>le (Notes from TMC 2017)</w:t>
      </w:r>
    </w:p>
    <w:p w:rsidR="00172716" w:rsidRDefault="00172716">
      <w:pPr>
        <w:rPr>
          <w:b/>
        </w:rPr>
      </w:pPr>
    </w:p>
    <w:p w:rsidR="00172716" w:rsidRDefault="00257638">
      <w:r>
        <w:t xml:space="preserve"> </w:t>
      </w:r>
      <w:r>
        <w:tab/>
        <w:t>by Chris Walker, Open TV</w:t>
      </w:r>
    </w:p>
    <w:p w:rsidR="00172716" w:rsidRDefault="00172716"/>
    <w:p w:rsidR="00172716" w:rsidRDefault="00257638">
      <w:r>
        <w:t xml:space="preserve">Strategies for equitable partnerships </w:t>
      </w:r>
    </w:p>
    <w:p w:rsidR="00172716" w:rsidRDefault="00257638">
      <w:pPr>
        <w:numPr>
          <w:ilvl w:val="0"/>
          <w:numId w:val="7"/>
        </w:numPr>
        <w:ind w:left="940" w:hanging="360"/>
        <w:contextualSpacing/>
      </w:pPr>
      <w:r>
        <w:t xml:space="preserve">clear expectations </w:t>
      </w:r>
    </w:p>
    <w:p w:rsidR="00172716" w:rsidRDefault="00257638">
      <w:pPr>
        <w:numPr>
          <w:ilvl w:val="0"/>
          <w:numId w:val="7"/>
        </w:numPr>
        <w:ind w:left="940" w:hanging="360"/>
        <w:contextualSpacing/>
      </w:pPr>
      <w:r>
        <w:lastRenderedPageBreak/>
        <w:t xml:space="preserve">defining exposure </w:t>
      </w:r>
    </w:p>
    <w:p w:rsidR="00172716" w:rsidRDefault="00257638">
      <w:pPr>
        <w:numPr>
          <w:ilvl w:val="0"/>
          <w:numId w:val="7"/>
        </w:numPr>
        <w:ind w:left="940" w:hanging="360"/>
        <w:contextualSpacing/>
      </w:pPr>
      <w:r>
        <w:t xml:space="preserve">money is non-negotiable </w:t>
      </w:r>
    </w:p>
    <w:p w:rsidR="00172716" w:rsidRDefault="00172716"/>
    <w:p w:rsidR="00172716" w:rsidRDefault="00257638">
      <w:r>
        <w:t>Good Examples?</w:t>
      </w:r>
    </w:p>
    <w:p w:rsidR="00172716" w:rsidRDefault="00257638">
      <w:pPr>
        <w:numPr>
          <w:ilvl w:val="0"/>
          <w:numId w:val="5"/>
        </w:numPr>
        <w:ind w:left="940" w:hanging="360"/>
        <w:contextualSpacing/>
      </w:pPr>
      <w:r>
        <w:t xml:space="preserve">Mother Jones - more power than Bitch Media </w:t>
      </w:r>
    </w:p>
    <w:p w:rsidR="00172716" w:rsidRDefault="00257638">
      <w:pPr>
        <w:numPr>
          <w:ilvl w:val="0"/>
          <w:numId w:val="5"/>
        </w:numPr>
        <w:ind w:left="940" w:hanging="360"/>
        <w:contextualSpacing/>
      </w:pPr>
      <w:r>
        <w:t xml:space="preserve">Get artists paid - Vice Strike in next </w:t>
      </w:r>
      <w:r>
        <w:t xml:space="preserve">two weeks </w:t>
      </w:r>
    </w:p>
    <w:p w:rsidR="00172716" w:rsidRDefault="00257638">
      <w:pPr>
        <w:numPr>
          <w:ilvl w:val="0"/>
          <w:numId w:val="5"/>
        </w:numPr>
        <w:ind w:left="940" w:hanging="360"/>
        <w:contextualSpacing/>
      </w:pPr>
      <w:r>
        <w:t xml:space="preserve">Third Rail - shame people </w:t>
      </w:r>
    </w:p>
    <w:p w:rsidR="00172716" w:rsidRDefault="00257638">
      <w:pPr>
        <w:numPr>
          <w:ilvl w:val="0"/>
          <w:numId w:val="5"/>
        </w:numPr>
        <w:ind w:left="940" w:hanging="360"/>
        <w:contextualSpacing/>
      </w:pPr>
      <w:r>
        <w:t xml:space="preserve">“Top 15 organizations you need to follow in the Trump era” - Fader piece - well thought out and tagged, wasn’t sloppy </w:t>
      </w:r>
    </w:p>
    <w:p w:rsidR="00172716" w:rsidRDefault="00257638">
      <w:pPr>
        <w:numPr>
          <w:ilvl w:val="0"/>
          <w:numId w:val="5"/>
        </w:numPr>
        <w:ind w:left="940" w:hanging="360"/>
        <w:contextualSpacing/>
      </w:pPr>
      <w:r>
        <w:t xml:space="preserve">On Our Radar - daily at Bitch Media </w:t>
      </w:r>
    </w:p>
    <w:p w:rsidR="00172716" w:rsidRDefault="00172716"/>
    <w:p w:rsidR="00172716" w:rsidRDefault="00257638">
      <w:r>
        <w:t>Bad Example?</w:t>
      </w:r>
    </w:p>
    <w:p w:rsidR="00172716" w:rsidRDefault="00257638">
      <w:pPr>
        <w:numPr>
          <w:ilvl w:val="0"/>
          <w:numId w:val="2"/>
        </w:numPr>
        <w:ind w:left="940" w:hanging="360"/>
        <w:contextualSpacing/>
      </w:pPr>
      <w:r>
        <w:t xml:space="preserve">John Oliver - raising money to buy medical debt - didn’t give any credit to The Rolling Jubilee for the idea but bought out all the debt </w:t>
      </w:r>
    </w:p>
    <w:p w:rsidR="00172716" w:rsidRDefault="00172716"/>
    <w:p w:rsidR="00172716" w:rsidRDefault="00257638">
      <w:r>
        <w:t xml:space="preserve">Bigger outlets are deciding that they’re going to benefit from smaller outlets </w:t>
      </w:r>
    </w:p>
    <w:p w:rsidR="00172716" w:rsidRDefault="00172716"/>
    <w:p w:rsidR="00172716" w:rsidRDefault="00257638">
      <w:r>
        <w:t>how do we make sure the bigger funde</w:t>
      </w:r>
      <w:r>
        <w:t xml:space="preserve">r is equal to the smaller distribution network </w:t>
      </w:r>
    </w:p>
    <w:p w:rsidR="00172716" w:rsidRDefault="00172716"/>
    <w:p w:rsidR="00172716" w:rsidRDefault="00257638">
      <w:r>
        <w:t xml:space="preserve">If there’s money on one side- have to be transactional </w:t>
      </w:r>
    </w:p>
    <w:p w:rsidR="00172716" w:rsidRDefault="00257638">
      <w:r>
        <w:t xml:space="preserve">there has to be some sort of contract </w:t>
      </w:r>
    </w:p>
    <w:p w:rsidR="00172716" w:rsidRDefault="00172716"/>
    <w:p w:rsidR="00172716" w:rsidRDefault="00257638">
      <w:r>
        <w:t xml:space="preserve">Defining exposure </w:t>
      </w:r>
    </w:p>
    <w:p w:rsidR="00172716" w:rsidRDefault="00257638">
      <w:pPr>
        <w:numPr>
          <w:ilvl w:val="0"/>
          <w:numId w:val="4"/>
        </w:numPr>
        <w:ind w:left="940" w:hanging="360"/>
        <w:contextualSpacing/>
      </w:pPr>
      <w:r>
        <w:t>these are the ways to give us a bigger audience and make this more sustainable</w:t>
      </w:r>
    </w:p>
    <w:p w:rsidR="00172716" w:rsidRDefault="00257638">
      <w:pPr>
        <w:numPr>
          <w:ilvl w:val="0"/>
          <w:numId w:val="4"/>
        </w:numPr>
        <w:ind w:left="940" w:hanging="360"/>
        <w:contextualSpacing/>
      </w:pPr>
      <w:r>
        <w:t>example: intr</w:t>
      </w:r>
      <w:r>
        <w:t xml:space="preserve">oduce us to these three partners </w:t>
      </w:r>
    </w:p>
    <w:p w:rsidR="00172716" w:rsidRDefault="00172716">
      <w:pPr>
        <w:numPr>
          <w:ilvl w:val="0"/>
          <w:numId w:val="4"/>
        </w:numPr>
        <w:ind w:left="940" w:hanging="360"/>
        <w:contextualSpacing/>
      </w:pPr>
    </w:p>
    <w:p w:rsidR="00172716" w:rsidRDefault="00257638">
      <w:pPr>
        <w:numPr>
          <w:ilvl w:val="0"/>
          <w:numId w:val="4"/>
        </w:numPr>
        <w:ind w:left="940" w:hanging="360"/>
        <w:contextualSpacing/>
      </w:pPr>
      <w:r>
        <w:t xml:space="preserve">How do we say yes to everyone in an equitable way? (people having interesting conversations on Bitch Media) </w:t>
      </w:r>
    </w:p>
    <w:p w:rsidR="00172716" w:rsidRDefault="00257638">
      <w:pPr>
        <w:numPr>
          <w:ilvl w:val="0"/>
          <w:numId w:val="4"/>
        </w:numPr>
        <w:ind w:left="940" w:hanging="360"/>
        <w:contextualSpacing/>
      </w:pPr>
      <w:r>
        <w:t>How do we get B corps to say we’re reaching these people ^</w:t>
      </w:r>
    </w:p>
    <w:p w:rsidR="00172716" w:rsidRDefault="00257638">
      <w:r>
        <w:t xml:space="preserve">What can the larger group do to pay back the smaller </w:t>
      </w:r>
      <w:r>
        <w:t xml:space="preserve">organization </w:t>
      </w:r>
    </w:p>
    <w:p w:rsidR="00172716" w:rsidRDefault="00257638">
      <w:pPr>
        <w:numPr>
          <w:ilvl w:val="0"/>
          <w:numId w:val="3"/>
        </w:numPr>
        <w:ind w:left="940" w:hanging="360"/>
        <w:contextualSpacing/>
      </w:pPr>
      <w:r>
        <w:t xml:space="preserve">make a formula to see how to be as equitable ex. retweet something 10 times if they retweeted you once </w:t>
      </w:r>
    </w:p>
    <w:p w:rsidR="00172716" w:rsidRDefault="00257638">
      <w:pPr>
        <w:numPr>
          <w:ilvl w:val="0"/>
          <w:numId w:val="3"/>
        </w:numPr>
        <w:ind w:left="940" w:hanging="360"/>
        <w:contextualSpacing/>
      </w:pPr>
      <w:r>
        <w:t xml:space="preserve">try to tag folks and do the extra google search </w:t>
      </w:r>
    </w:p>
    <w:p w:rsidR="00172716" w:rsidRDefault="00257638">
      <w:pPr>
        <w:numPr>
          <w:ilvl w:val="0"/>
          <w:numId w:val="3"/>
        </w:numPr>
        <w:ind w:left="940" w:hanging="360"/>
        <w:contextualSpacing/>
      </w:pPr>
      <w:r>
        <w:t xml:space="preserve">the intention is important, think deeply about how to support folks </w:t>
      </w:r>
    </w:p>
    <w:p w:rsidR="00172716" w:rsidRDefault="00257638">
      <w:r>
        <w:t xml:space="preserve">If we’re going to have this Vice Strike then what should we support </w:t>
      </w:r>
    </w:p>
    <w:p w:rsidR="00172716" w:rsidRDefault="00172716"/>
    <w:p w:rsidR="00172716" w:rsidRDefault="00257638">
      <w:r>
        <w:t xml:space="preserve">What spurred this thinking? </w:t>
      </w:r>
    </w:p>
    <w:p w:rsidR="00172716" w:rsidRDefault="00257638">
      <w:pPr>
        <w:numPr>
          <w:ilvl w:val="0"/>
          <w:numId w:val="6"/>
        </w:numPr>
        <w:ind w:left="940" w:hanging="360"/>
        <w:contextualSpacing/>
      </w:pPr>
      <w:r>
        <w:t xml:space="preserve">Bitch doesn’t have any partnerships </w:t>
      </w:r>
    </w:p>
    <w:p w:rsidR="00172716" w:rsidRDefault="00257638">
      <w:pPr>
        <w:numPr>
          <w:ilvl w:val="0"/>
          <w:numId w:val="6"/>
        </w:numPr>
        <w:ind w:left="940" w:hanging="360"/>
        <w:contextualSpacing/>
      </w:pPr>
      <w:r>
        <w:t xml:space="preserve">have not said ‘ </w:t>
      </w:r>
      <w:proofErr w:type="spellStart"/>
      <w:r>
        <w:t>lets</w:t>
      </w:r>
      <w:proofErr w:type="spellEnd"/>
      <w:r>
        <w:t xml:space="preserve"> take on 50 outlets, we love your work and this is so important, how can we amplify your work in a  </w:t>
      </w:r>
      <w:r>
        <w:t xml:space="preserve">structural way to benefit the mission at large’ </w:t>
      </w:r>
    </w:p>
    <w:p w:rsidR="00172716" w:rsidRDefault="00257638">
      <w:pPr>
        <w:numPr>
          <w:ilvl w:val="0"/>
          <w:numId w:val="6"/>
        </w:numPr>
        <w:ind w:left="940" w:hanging="360"/>
        <w:contextualSpacing/>
      </w:pPr>
      <w:r>
        <w:t xml:space="preserve">what are the tenants of that structure </w:t>
      </w:r>
    </w:p>
    <w:p w:rsidR="00172716" w:rsidRDefault="00172716"/>
    <w:p w:rsidR="00172716" w:rsidRDefault="00257638">
      <w:r>
        <w:rPr>
          <w:b/>
        </w:rPr>
        <w:t>Solutions</w:t>
      </w:r>
      <w:r>
        <w:t xml:space="preserve"> </w:t>
      </w:r>
    </w:p>
    <w:p w:rsidR="00172716" w:rsidRDefault="00257638">
      <w:r>
        <w:t xml:space="preserve">Press briefing with media consortium </w:t>
      </w:r>
    </w:p>
    <w:p w:rsidR="00172716" w:rsidRDefault="00257638">
      <w:r>
        <w:lastRenderedPageBreak/>
        <w:t xml:space="preserve">weekly feature of independent writers doing good work - consistency is key </w:t>
      </w:r>
    </w:p>
    <w:p w:rsidR="00172716" w:rsidRDefault="00257638">
      <w:r>
        <w:t xml:space="preserve">TMC social list </w:t>
      </w:r>
    </w:p>
    <w:p w:rsidR="00172716" w:rsidRDefault="00257638">
      <w:r>
        <w:t>reports vs activists - b</w:t>
      </w:r>
      <w:r>
        <w:t xml:space="preserve">iggest killer is speed, sloppiness is a killer - fewer and deeper </w:t>
      </w:r>
    </w:p>
    <w:p w:rsidR="00172716" w:rsidRDefault="00257638">
      <w:r>
        <w:t>Ask powerful partners - you’re supporting x can you support y ?</w:t>
      </w:r>
    </w:p>
    <w:p w:rsidR="00172716" w:rsidRDefault="00257638">
      <w:r>
        <w:t xml:space="preserve">Something similar to this model: tack on an additional donation at the end of a purchase “we’re going to the theater, bought </w:t>
      </w:r>
      <w:r>
        <w:t>a ticket, would you like to tack on $3 to support youth theater”</w:t>
      </w:r>
    </w:p>
    <w:p w:rsidR="00172716" w:rsidRDefault="00172716"/>
    <w:p w:rsidR="00172716" w:rsidRDefault="00257638">
      <w:r>
        <w:rPr>
          <w:b/>
        </w:rPr>
        <w:t>Obstacles</w:t>
      </w:r>
      <w:r>
        <w:t xml:space="preserve"> </w:t>
      </w:r>
    </w:p>
    <w:p w:rsidR="00172716" w:rsidRDefault="00257638">
      <w:r>
        <w:t xml:space="preserve">need to have something at the leadership level that’s a buy in and interest - what serves the larger social change </w:t>
      </w:r>
    </w:p>
    <w:p w:rsidR="00172716" w:rsidRDefault="00257638">
      <w:r>
        <w:t xml:space="preserve">partnership is serving the greater good </w:t>
      </w:r>
    </w:p>
    <w:p w:rsidR="00172716" w:rsidRDefault="00172716"/>
    <w:p w:rsidR="00172716" w:rsidRDefault="00257638">
      <w:r>
        <w:t>Questions to pose to higher ups:</w:t>
      </w:r>
    </w:p>
    <w:p w:rsidR="00172716" w:rsidRDefault="00257638">
      <w:pPr>
        <w:numPr>
          <w:ilvl w:val="0"/>
          <w:numId w:val="10"/>
        </w:numPr>
        <w:ind w:left="940" w:hanging="360"/>
        <w:contextualSpacing/>
      </w:pPr>
      <w:r>
        <w:t xml:space="preserve">now that you’ve broken this story and raised this money what are you doing to </w:t>
      </w:r>
      <w:proofErr w:type="spellStart"/>
      <w:r>
        <w:t>to</w:t>
      </w:r>
      <w:proofErr w:type="spellEnd"/>
      <w:r>
        <w:t xml:space="preserve"> help the cause you were reporting on?</w:t>
      </w:r>
    </w:p>
    <w:p w:rsidR="00172716" w:rsidRDefault="00257638">
      <w:pPr>
        <w:numPr>
          <w:ilvl w:val="0"/>
          <w:numId w:val="10"/>
        </w:numPr>
        <w:ind w:left="940" w:hanging="360"/>
        <w:contextualSpacing/>
      </w:pPr>
      <w:r>
        <w:t xml:space="preserve">what are you hoping to get from this partnership? </w:t>
      </w:r>
    </w:p>
    <w:p w:rsidR="00172716" w:rsidRDefault="00257638">
      <w:pPr>
        <w:numPr>
          <w:ilvl w:val="0"/>
          <w:numId w:val="10"/>
        </w:numPr>
        <w:ind w:left="940" w:hanging="360"/>
        <w:contextualSpacing/>
      </w:pPr>
      <w:r>
        <w:t>what are you willing to share and what is it worth?</w:t>
      </w:r>
    </w:p>
    <w:p w:rsidR="00172716" w:rsidRDefault="00257638">
      <w:pPr>
        <w:numPr>
          <w:ilvl w:val="0"/>
          <w:numId w:val="10"/>
        </w:numPr>
        <w:ind w:left="940" w:hanging="360"/>
        <w:contextualSpacing/>
      </w:pPr>
      <w:r>
        <w:t>what exactly are you committing to?</w:t>
      </w:r>
    </w:p>
    <w:p w:rsidR="00172716" w:rsidRDefault="00257638">
      <w:pPr>
        <w:numPr>
          <w:ilvl w:val="0"/>
          <w:numId w:val="10"/>
        </w:numPr>
        <w:ind w:left="940" w:hanging="360"/>
        <w:contextualSpacing/>
      </w:pPr>
      <w:r>
        <w:t>when something goes viral, what does the creator get?</w:t>
      </w:r>
    </w:p>
    <w:p w:rsidR="00172716" w:rsidRDefault="00257638">
      <w:pPr>
        <w:numPr>
          <w:ilvl w:val="0"/>
          <w:numId w:val="10"/>
        </w:numPr>
        <w:ind w:left="940" w:hanging="360"/>
        <w:contextualSpacing/>
      </w:pPr>
      <w:r>
        <w:t>when you notice that a specific interview is getting more attention on your site, what does the org do to further support the creator?</w:t>
      </w:r>
    </w:p>
    <w:p w:rsidR="00172716" w:rsidRDefault="00172716"/>
    <w:sectPr w:rsidR="0017271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1DB"/>
    <w:multiLevelType w:val="multilevel"/>
    <w:tmpl w:val="52223B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70E56A4"/>
    <w:multiLevelType w:val="multilevel"/>
    <w:tmpl w:val="27E84E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A5C2616"/>
    <w:multiLevelType w:val="multilevel"/>
    <w:tmpl w:val="8EE8F4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2DC071A"/>
    <w:multiLevelType w:val="multilevel"/>
    <w:tmpl w:val="4AF8A2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3035D95"/>
    <w:multiLevelType w:val="multilevel"/>
    <w:tmpl w:val="C2C6B8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C58583D"/>
    <w:multiLevelType w:val="multilevel"/>
    <w:tmpl w:val="B0B6DA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7D030EC"/>
    <w:multiLevelType w:val="multilevel"/>
    <w:tmpl w:val="2634FD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DDA3806"/>
    <w:multiLevelType w:val="multilevel"/>
    <w:tmpl w:val="0B4A6E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96F1F25"/>
    <w:multiLevelType w:val="multilevel"/>
    <w:tmpl w:val="0360E6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FAE0D66"/>
    <w:multiLevelType w:val="multilevel"/>
    <w:tmpl w:val="4D24E9B0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16"/>
    <w:rsid w:val="00172716"/>
    <w:rsid w:val="0025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99D3C7-1716-4BE5-BE0D-7636F9B2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pri.org/publications/2017/other-publications/african-dire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ts.washington.edu/ccph/pdf_files/p-Michigan042310.pdf" TargetMode="External"/><Relationship Id="rId5" Type="http://schemas.openxmlformats.org/officeDocument/2006/relationships/hyperlink" Target="http://jces.ua.edu/establishing-and-evaluating-equitable-partnership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Jgkaiser</dc:creator>
  <cp:lastModifiedBy>Jo Ellen Kaiser</cp:lastModifiedBy>
  <cp:revision>2</cp:revision>
  <dcterms:created xsi:type="dcterms:W3CDTF">2017-05-03T14:17:00Z</dcterms:created>
  <dcterms:modified xsi:type="dcterms:W3CDTF">2017-05-03T14:17:00Z</dcterms:modified>
</cp:coreProperties>
</file>