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ED9CC" w14:textId="5CBD53F5" w:rsidR="00E278B4" w:rsidRDefault="00E278B4">
      <w:r>
        <w:t>Strategic Planning Report:Survey Results</w:t>
      </w:r>
    </w:p>
    <w:p w14:paraId="5536230D" w14:textId="5223965A" w:rsidR="00E278B4" w:rsidRDefault="00AB1623">
      <w:r>
        <w:t>Submitted by Jo Ellen Green Kaiser</w:t>
      </w:r>
    </w:p>
    <w:p w14:paraId="0E32E90F" w14:textId="60021705" w:rsidR="00AB1623" w:rsidRDefault="00AD1990">
      <w:r>
        <w:t>February 12</w:t>
      </w:r>
      <w:r w:rsidR="00AB1623">
        <w:t>, 2014</w:t>
      </w:r>
    </w:p>
    <w:p w14:paraId="18EB8F8E" w14:textId="77777777" w:rsidR="00E278B4" w:rsidRDefault="00E278B4"/>
    <w:p w14:paraId="73B30F4F" w14:textId="77777777" w:rsidR="00C8633C" w:rsidRDefault="00C8633C"/>
    <w:p w14:paraId="375F34B3" w14:textId="77777777" w:rsidR="00C8633C" w:rsidRDefault="00C8633C"/>
    <w:p w14:paraId="1E26C3D9" w14:textId="77777777" w:rsidR="00655757" w:rsidRDefault="00655757">
      <w:pPr>
        <w:rPr>
          <w:b/>
        </w:rPr>
      </w:pPr>
      <w:r>
        <w:rPr>
          <w:b/>
        </w:rPr>
        <w:t>OVERVIEW:</w:t>
      </w:r>
    </w:p>
    <w:p w14:paraId="7CCE06BB" w14:textId="6A12840F" w:rsidR="00655757" w:rsidRDefault="00655757">
      <w:r>
        <w:t xml:space="preserve">Founded in 2005, the Media Consortium has entered a strategic planning process to answer a fundamental question: </w:t>
      </w:r>
      <w:r w:rsidRPr="00AA3D97">
        <w:rPr>
          <w:b/>
        </w:rPr>
        <w:t>What is the unique value that the Media Consortium provides to its stakeholders?</w:t>
      </w:r>
    </w:p>
    <w:p w14:paraId="6D88DF16" w14:textId="77777777" w:rsidR="00E751B3" w:rsidRDefault="00E751B3" w:rsidP="00AA3D97"/>
    <w:p w14:paraId="1DEF2BD2" w14:textId="5132F970" w:rsidR="00AD1990" w:rsidRDefault="00AD1990" w:rsidP="00AD1990">
      <w:r>
        <w:t xml:space="preserve">On January 6, 2014, the Strategic Planning Committee sent a survey </w:t>
      </w:r>
      <w:r w:rsidR="00641D22">
        <w:t xml:space="preserve">consisting of 5 questions </w:t>
      </w:r>
      <w:r>
        <w:t>to the Media Consortium list, which includes former and current Media Consortium members, former and current funders, as well as some allies. Of 422 members on the list, we have 63 respondents, or a 15% overall response.</w:t>
      </w:r>
    </w:p>
    <w:p w14:paraId="7B70EA62" w14:textId="77777777" w:rsidR="00AD1990" w:rsidRDefault="00AD1990" w:rsidP="00AD1990">
      <w:pPr>
        <w:ind w:left="720" w:hanging="720"/>
      </w:pPr>
    </w:p>
    <w:p w14:paraId="2E1605F4" w14:textId="77777777" w:rsidR="00AD1990" w:rsidRDefault="00AD1990" w:rsidP="00AA3D97"/>
    <w:p w14:paraId="36E35377" w14:textId="4CF4E0FE" w:rsidR="00E751B3" w:rsidRDefault="00827D71" w:rsidP="008C1190">
      <w:pPr>
        <w:ind w:left="720" w:hanging="720"/>
        <w:rPr>
          <w:b/>
        </w:rPr>
      </w:pPr>
      <w:r w:rsidRPr="00C8633C">
        <w:rPr>
          <w:b/>
        </w:rPr>
        <w:t>SURVEY RESULTS</w:t>
      </w:r>
      <w:r w:rsidR="00AA3D97">
        <w:rPr>
          <w:b/>
        </w:rPr>
        <w:t>-Executive Summary</w:t>
      </w:r>
    </w:p>
    <w:p w14:paraId="01ED9A67" w14:textId="77777777" w:rsidR="00AA3D97" w:rsidRDefault="00AA3D97" w:rsidP="008C1190">
      <w:pPr>
        <w:ind w:left="720" w:hanging="720"/>
        <w:rPr>
          <w:b/>
        </w:rPr>
      </w:pPr>
    </w:p>
    <w:p w14:paraId="1786F934" w14:textId="77777777" w:rsidR="00AA3D97" w:rsidRDefault="00AA3D97" w:rsidP="00AA3D97">
      <w:r>
        <w:t xml:space="preserve">Survey respondents were largely current Media Consortium members. Their overwhelming consensus is that the Media Consortium has a unique value to them and should not sunset. </w:t>
      </w:r>
    </w:p>
    <w:p w14:paraId="65D5035D" w14:textId="77777777" w:rsidR="00AA3D97" w:rsidRDefault="00AA3D97" w:rsidP="00AA3D97"/>
    <w:p w14:paraId="1D927C6D" w14:textId="77777777" w:rsidR="00AA3D97" w:rsidRDefault="00AA3D97" w:rsidP="00AA3D97">
      <w:r>
        <w:t xml:space="preserve">Respondents define </w:t>
      </w:r>
      <w:r w:rsidRPr="00AA3D97">
        <w:t xml:space="preserve">the Media Consortium as a network of </w:t>
      </w:r>
      <w:r>
        <w:t>peers. They define their peers as members of the independent and progressive media.</w:t>
      </w:r>
    </w:p>
    <w:p w14:paraId="498762DF" w14:textId="77777777" w:rsidR="00AA3D97" w:rsidRDefault="00AA3D97" w:rsidP="00AA3D97"/>
    <w:p w14:paraId="237B3CBC" w14:textId="77777777" w:rsidR="00AA3D97" w:rsidRDefault="00AA3D97" w:rsidP="00AA3D97">
      <w:r>
        <w:t xml:space="preserve">While respondents clearly indicate that they need </w:t>
      </w:r>
      <w:r w:rsidRPr="00AA3D97">
        <w:t xml:space="preserve">technical training and assistance with business practices, </w:t>
      </w:r>
      <w:r>
        <w:t xml:space="preserve">they don’t see skills or training as </w:t>
      </w:r>
      <w:r w:rsidRPr="00AA3D97">
        <w:t xml:space="preserve">core to the purpose </w:t>
      </w:r>
      <w:r>
        <w:t>of the Media Consortium.</w:t>
      </w:r>
    </w:p>
    <w:p w14:paraId="267B6053" w14:textId="77777777" w:rsidR="00AA3D97" w:rsidRDefault="00AA3D97" w:rsidP="00AA3D97"/>
    <w:p w14:paraId="497F57BF" w14:textId="77777777" w:rsidR="00AD1990" w:rsidRDefault="00AD1990" w:rsidP="00AA3D97">
      <w:r>
        <w:t>Respondents strongly agree</w:t>
      </w:r>
      <w:r w:rsidR="00AA3D97">
        <w:t xml:space="preserve"> that the Media Consortium’s purpose is creating impact for and fostering collaboration among these peer organizations.  </w:t>
      </w:r>
    </w:p>
    <w:p w14:paraId="4360FA96" w14:textId="77777777" w:rsidR="00AD1990" w:rsidRDefault="00AD1990" w:rsidP="00AA3D97"/>
    <w:p w14:paraId="19F78436" w14:textId="77777777" w:rsidR="00AD1990" w:rsidRPr="00AD1990" w:rsidRDefault="00AD1990" w:rsidP="00AA3D97">
      <w:pPr>
        <w:rPr>
          <w:b/>
        </w:rPr>
      </w:pPr>
      <w:r w:rsidRPr="00AD1990">
        <w:rPr>
          <w:b/>
        </w:rPr>
        <w:t>NEXT STEPS</w:t>
      </w:r>
    </w:p>
    <w:p w14:paraId="27C67CA3" w14:textId="77777777" w:rsidR="00AD1990" w:rsidRDefault="00AD1990" w:rsidP="00AA3D97"/>
    <w:p w14:paraId="19252F8C" w14:textId="4E07AF48" w:rsidR="00AA3D97" w:rsidRDefault="00641D22" w:rsidP="00AA3D97">
      <w:r>
        <w:t>Based on the survey data</w:t>
      </w:r>
      <w:r w:rsidR="00AD1990">
        <w:t>, the Media Consortium’s strategic planning team is conductin</w:t>
      </w:r>
      <w:r>
        <w:t xml:space="preserve">g focus groups to drill down into the relationship between achieving impact and fostering collaboration, and how these goals relate to the definition of the Media Consortium as a peer network. </w:t>
      </w:r>
    </w:p>
    <w:p w14:paraId="17DC3B6B" w14:textId="77777777" w:rsidR="00641D22" w:rsidRDefault="00641D22" w:rsidP="00AA3D97"/>
    <w:p w14:paraId="76E03EAD" w14:textId="13D165A4" w:rsidR="00641D22" w:rsidRDefault="00641D22" w:rsidP="00AA3D97">
      <w:r>
        <w:t xml:space="preserve">The Focus Groups will conclude on February 19; the TMC director will issue a focus group report by February 24, and that will form the stepping stone for our planning event on March 1-2. </w:t>
      </w:r>
    </w:p>
    <w:p w14:paraId="38345BBE" w14:textId="77777777" w:rsidR="00AA3D97" w:rsidRDefault="00AA3D97" w:rsidP="00AA3D97"/>
    <w:p w14:paraId="78884E1A" w14:textId="77777777" w:rsidR="00AA3D97" w:rsidRDefault="00AA3D97" w:rsidP="00AA3D97"/>
    <w:p w14:paraId="66E27812" w14:textId="77777777" w:rsidR="00AA3D97" w:rsidRPr="00AA3D97" w:rsidRDefault="00AA3D97" w:rsidP="00AA3D97"/>
    <w:p w14:paraId="30991CDC" w14:textId="77777777" w:rsidR="00AA3D97" w:rsidRDefault="00AA3D97" w:rsidP="008C1190">
      <w:pPr>
        <w:ind w:left="720" w:hanging="720"/>
        <w:rPr>
          <w:b/>
        </w:rPr>
      </w:pPr>
    </w:p>
    <w:p w14:paraId="5AA02694" w14:textId="77777777" w:rsidR="00AA3D97" w:rsidRDefault="00AA3D97" w:rsidP="008C1190">
      <w:pPr>
        <w:ind w:left="720" w:hanging="720"/>
        <w:rPr>
          <w:b/>
        </w:rPr>
      </w:pPr>
    </w:p>
    <w:p w14:paraId="69685952" w14:textId="7C818E8E" w:rsidR="00AA3D97" w:rsidRDefault="00AA3D97" w:rsidP="008C1190">
      <w:pPr>
        <w:ind w:left="720" w:hanging="720"/>
        <w:rPr>
          <w:b/>
        </w:rPr>
      </w:pPr>
      <w:r>
        <w:rPr>
          <w:b/>
        </w:rPr>
        <w:t>SURVEY RESULTS</w:t>
      </w:r>
      <w:r w:rsidR="00641D22">
        <w:rPr>
          <w:b/>
        </w:rPr>
        <w:t>—</w:t>
      </w:r>
      <w:r>
        <w:rPr>
          <w:b/>
        </w:rPr>
        <w:t>Details</w:t>
      </w:r>
    </w:p>
    <w:p w14:paraId="6E0EFC92" w14:textId="3C29B73D" w:rsidR="00D93CAE" w:rsidRDefault="00641D22" w:rsidP="0081075B">
      <w:r>
        <w:t>The survey asked 5 questions, all designed to get at the question of the value of the Media Consortium to respondents. The first question asked respondents how they were related to the Media Consortium.</w:t>
      </w:r>
    </w:p>
    <w:p w14:paraId="276769CA" w14:textId="77777777" w:rsidR="00641D22" w:rsidRDefault="00641D22" w:rsidP="0081075B"/>
    <w:p w14:paraId="4FFC708A" w14:textId="6FF54347" w:rsidR="00D93CAE" w:rsidRDefault="00AA3D97" w:rsidP="0081075B">
      <w:pPr>
        <w:rPr>
          <w:b/>
        </w:rPr>
      </w:pPr>
      <w:r>
        <w:rPr>
          <w:b/>
        </w:rPr>
        <w:t xml:space="preserve">1. </w:t>
      </w:r>
      <w:r w:rsidR="00D93CAE" w:rsidRPr="000E409E">
        <w:rPr>
          <w:b/>
        </w:rPr>
        <w:t>Demographics:</w:t>
      </w:r>
    </w:p>
    <w:p w14:paraId="2AC09836" w14:textId="77777777" w:rsidR="00641D22" w:rsidRDefault="00641D22" w:rsidP="0081075B">
      <w:pPr>
        <w:rPr>
          <w:b/>
        </w:rPr>
      </w:pPr>
    </w:p>
    <w:p w14:paraId="11824DC5" w14:textId="77777777" w:rsidR="00641D22" w:rsidRDefault="00641D22" w:rsidP="0081075B">
      <w:pPr>
        <w:rPr>
          <w:rFonts w:eastAsia="Times New Roman" w:cs="Times New Roman"/>
          <w:b/>
        </w:rPr>
      </w:pPr>
      <w:r w:rsidRPr="00641D22">
        <w:rPr>
          <w:rFonts w:eastAsia="Times New Roman" w:cs="Times New Roman"/>
          <w:b/>
        </w:rPr>
        <w:t xml:space="preserve">Please indicate how you are connected to the Media Consortium </w:t>
      </w:r>
    </w:p>
    <w:p w14:paraId="399C153A" w14:textId="4EEE3198" w:rsidR="00641D22" w:rsidRDefault="00641D22" w:rsidP="0081075B">
      <w:pPr>
        <w:rPr>
          <w:rFonts w:eastAsia="Times New Roman" w:cs="Times New Roman"/>
          <w:b/>
        </w:rPr>
      </w:pPr>
      <w:r w:rsidRPr="00641D22">
        <w:rPr>
          <w:rFonts w:eastAsia="Times New Roman" w:cs="Times New Roman"/>
          <w:b/>
        </w:rPr>
        <w:t>(you can check more than one)</w:t>
      </w:r>
    </w:p>
    <w:p w14:paraId="405E2ECF" w14:textId="77777777" w:rsidR="00321F5C" w:rsidRPr="00321F5C" w:rsidRDefault="00321F5C" w:rsidP="0081075B">
      <w:pPr>
        <w:rPr>
          <w:rFonts w:eastAsia="Times New Roman" w:cs="Times New Roman"/>
        </w:rPr>
      </w:pPr>
    </w:p>
    <w:p w14:paraId="530691B1" w14:textId="77777777" w:rsidR="00321F5C" w:rsidRDefault="00321F5C" w:rsidP="0081075B">
      <w:pPr>
        <w:rPr>
          <w:rFonts w:eastAsia="Times New Roman" w:cs="Times New Roman"/>
        </w:rPr>
      </w:pPr>
      <w:r>
        <w:rPr>
          <w:rFonts w:eastAsia="Times New Roman" w:cs="Times New Roman"/>
        </w:rPr>
        <w:t>When numbers were adjusted so that anyone who indicated funder was put only in the funder category, and then anyone indicating current member was put only in the current member category, the breakdown was as follows:</w:t>
      </w:r>
    </w:p>
    <w:p w14:paraId="78368779" w14:textId="3E101EF9" w:rsidR="00321F5C" w:rsidRPr="00321F5C" w:rsidRDefault="00321F5C" w:rsidP="0081075B">
      <w:pPr>
        <w:rPr>
          <w:rFonts w:eastAsia="Times New Roman" w:cs="Times New Roman"/>
        </w:rPr>
      </w:pPr>
      <w:r w:rsidRPr="00321F5C">
        <w:rPr>
          <w:rFonts w:eastAsia="Times New Roman" w:cs="Times New Roman"/>
        </w:rPr>
        <w:t>54 Current TMC</w:t>
      </w:r>
    </w:p>
    <w:p w14:paraId="5EF829B6" w14:textId="0E0D452A" w:rsidR="00321F5C" w:rsidRPr="00321F5C" w:rsidRDefault="00321F5C" w:rsidP="0081075B">
      <w:pPr>
        <w:rPr>
          <w:rFonts w:eastAsia="Times New Roman" w:cs="Times New Roman"/>
        </w:rPr>
      </w:pPr>
      <w:r w:rsidRPr="00321F5C">
        <w:rPr>
          <w:rFonts w:eastAsia="Times New Roman" w:cs="Times New Roman"/>
        </w:rPr>
        <w:t>5 Former TMC</w:t>
      </w:r>
      <w:r>
        <w:rPr>
          <w:rFonts w:eastAsia="Times New Roman" w:cs="Times New Roman"/>
        </w:rPr>
        <w:t xml:space="preserve"> </w:t>
      </w:r>
    </w:p>
    <w:p w14:paraId="4DFA1FF7" w14:textId="2AA16E32" w:rsidR="00321F5C" w:rsidRPr="00321F5C" w:rsidRDefault="00321F5C" w:rsidP="0081075B">
      <w:pPr>
        <w:rPr>
          <w:rFonts w:eastAsia="Times New Roman" w:cs="Times New Roman"/>
        </w:rPr>
      </w:pPr>
      <w:r w:rsidRPr="00321F5C">
        <w:rPr>
          <w:rFonts w:eastAsia="Times New Roman" w:cs="Times New Roman"/>
        </w:rPr>
        <w:t>3 Funders</w:t>
      </w:r>
      <w:r>
        <w:rPr>
          <w:rFonts w:eastAsia="Times New Roman" w:cs="Times New Roman"/>
        </w:rPr>
        <w:t xml:space="preserve"> </w:t>
      </w:r>
    </w:p>
    <w:p w14:paraId="67224966" w14:textId="55C611B0" w:rsidR="00321F5C" w:rsidRPr="00321F5C" w:rsidRDefault="00321F5C" w:rsidP="0081075B">
      <w:pPr>
        <w:rPr>
          <w:rFonts w:eastAsia="Times New Roman" w:cs="Times New Roman"/>
        </w:rPr>
      </w:pPr>
      <w:r w:rsidRPr="00321F5C">
        <w:rPr>
          <w:rFonts w:eastAsia="Times New Roman" w:cs="Times New Roman"/>
        </w:rPr>
        <w:t>3 Allies</w:t>
      </w:r>
      <w:r>
        <w:rPr>
          <w:rFonts w:eastAsia="Times New Roman" w:cs="Times New Roman"/>
        </w:rPr>
        <w:t xml:space="preserve"> </w:t>
      </w:r>
    </w:p>
    <w:p w14:paraId="63B97D0D" w14:textId="77777777" w:rsidR="00321F5C" w:rsidRDefault="00321F5C" w:rsidP="0081075B">
      <w:pPr>
        <w:rPr>
          <w:rFonts w:eastAsia="Times New Roman" w:cs="Times New Roman"/>
          <w:b/>
        </w:rPr>
      </w:pPr>
    </w:p>
    <w:p w14:paraId="22F16272" w14:textId="77777777" w:rsidR="00641D22" w:rsidRPr="00641D22" w:rsidRDefault="00641D22" w:rsidP="0081075B">
      <w:pPr>
        <w:rPr>
          <w:b/>
        </w:rPr>
      </w:pPr>
    </w:p>
    <w:p w14:paraId="0D225B9C" w14:textId="70B3F967" w:rsidR="0081075B" w:rsidRDefault="000E409E" w:rsidP="0081075B">
      <w:r>
        <w:rPr>
          <w:noProof/>
        </w:rPr>
        <w:drawing>
          <wp:inline distT="0" distB="0" distL="0" distR="0" wp14:anchorId="4373DEA0" wp14:editId="4F3083DB">
            <wp:extent cx="4572000" cy="2743200"/>
            <wp:effectExtent l="0" t="0" r="25400" b="25400"/>
            <wp:docPr id="1" name="Chart 1" title="Respondent Demograph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0C2B9D" w14:textId="77777777" w:rsidR="00D93CAE" w:rsidRDefault="00D93CAE" w:rsidP="0081075B"/>
    <w:p w14:paraId="637C63EA" w14:textId="125B0903" w:rsidR="0081075B" w:rsidRDefault="000E409E" w:rsidP="0081075B">
      <w:r>
        <w:t xml:space="preserve">14 respondents currently serve on TMC committees; 7 respondents were at the TMC founding event at Pocantico. </w:t>
      </w:r>
    </w:p>
    <w:p w14:paraId="56DA5E28" w14:textId="77777777" w:rsidR="000E409E" w:rsidRDefault="000E409E" w:rsidP="0081075B"/>
    <w:p w14:paraId="497581D2" w14:textId="6E87EF53" w:rsidR="000E409E" w:rsidRDefault="000E409E" w:rsidP="0081075B">
      <w:r>
        <w:rPr>
          <w:u w:val="single"/>
        </w:rPr>
        <w:t xml:space="preserve">Demographics </w:t>
      </w:r>
      <w:r w:rsidR="00AA3D97">
        <w:rPr>
          <w:u w:val="single"/>
        </w:rPr>
        <w:t>Analysis</w:t>
      </w:r>
      <w:r w:rsidRPr="000E409E">
        <w:rPr>
          <w:u w:val="single"/>
        </w:rPr>
        <w:t>:</w:t>
      </w:r>
      <w:r>
        <w:t xml:space="preserve"> Respondents reflect the current state of the Media Consortium, and the interests of current members.</w:t>
      </w:r>
    </w:p>
    <w:p w14:paraId="1CE75DEF" w14:textId="77777777" w:rsidR="000E409E" w:rsidRDefault="000E409E" w:rsidP="0081075B"/>
    <w:p w14:paraId="7F919611" w14:textId="77777777" w:rsidR="00641D22" w:rsidRDefault="00641D22">
      <w:pPr>
        <w:rPr>
          <w:b/>
        </w:rPr>
      </w:pPr>
      <w:r>
        <w:rPr>
          <w:b/>
        </w:rPr>
        <w:br w:type="page"/>
      </w:r>
    </w:p>
    <w:p w14:paraId="0640A576" w14:textId="455240ED" w:rsidR="000E409E" w:rsidRDefault="00AA3D97" w:rsidP="0081075B">
      <w:pPr>
        <w:rPr>
          <w:b/>
        </w:rPr>
      </w:pPr>
      <w:r>
        <w:rPr>
          <w:b/>
        </w:rPr>
        <w:t xml:space="preserve">2. </w:t>
      </w:r>
      <w:r w:rsidR="000E409E" w:rsidRPr="000E409E">
        <w:rPr>
          <w:b/>
        </w:rPr>
        <w:t>Point of View</w:t>
      </w:r>
    </w:p>
    <w:p w14:paraId="1ADA7819" w14:textId="77777777" w:rsidR="00641D22" w:rsidRPr="000E409E" w:rsidRDefault="00641D22" w:rsidP="0081075B">
      <w:pPr>
        <w:rPr>
          <w:b/>
        </w:rPr>
      </w:pPr>
    </w:p>
    <w:p w14:paraId="2E0A5052" w14:textId="77777777" w:rsidR="00CB402C" w:rsidRDefault="00CB402C" w:rsidP="00CB402C">
      <w:r>
        <w:t xml:space="preserve">When asked to select one word to describe the typical Media Consortium outlet, </w:t>
      </w:r>
    </w:p>
    <w:p w14:paraId="5CB82025" w14:textId="77777777" w:rsidR="00CB402C" w:rsidRDefault="00CB402C" w:rsidP="00CB402C">
      <w:pPr>
        <w:pStyle w:val="ListParagraph"/>
        <w:numPr>
          <w:ilvl w:val="0"/>
          <w:numId w:val="7"/>
        </w:numPr>
      </w:pPr>
      <w:r>
        <w:t xml:space="preserve">27 respondents chose “independent,” </w:t>
      </w:r>
    </w:p>
    <w:p w14:paraId="1EB61ACA" w14:textId="77777777" w:rsidR="00CB402C" w:rsidRDefault="00CB402C" w:rsidP="00CB402C">
      <w:pPr>
        <w:pStyle w:val="ListParagraph"/>
        <w:numPr>
          <w:ilvl w:val="0"/>
          <w:numId w:val="7"/>
        </w:numPr>
      </w:pPr>
      <w:r>
        <w:t xml:space="preserve">28 respondents chose “progressive,” and </w:t>
      </w:r>
    </w:p>
    <w:p w14:paraId="4B2E67B6" w14:textId="77777777" w:rsidR="00CB402C" w:rsidRDefault="00CB402C" w:rsidP="00CB402C">
      <w:pPr>
        <w:pStyle w:val="ListParagraph"/>
        <w:numPr>
          <w:ilvl w:val="0"/>
          <w:numId w:val="7"/>
        </w:numPr>
      </w:pPr>
      <w:r>
        <w:t>7 respondents chose another answer (news, non-profit, journalism, non-partisan, muckracking).</w:t>
      </w:r>
    </w:p>
    <w:p w14:paraId="4A3E1067" w14:textId="77777777" w:rsidR="00641D22" w:rsidRDefault="00641D22" w:rsidP="0081075B">
      <w:bookmarkStart w:id="0" w:name="_GoBack"/>
      <w:bookmarkEnd w:id="0"/>
    </w:p>
    <w:p w14:paraId="216549FC" w14:textId="77777777" w:rsidR="000E409E" w:rsidRDefault="000E409E" w:rsidP="0081075B"/>
    <w:p w14:paraId="703BE691" w14:textId="0BE54376" w:rsidR="000E409E" w:rsidRDefault="000E409E" w:rsidP="0081075B">
      <w:r>
        <w:rPr>
          <w:noProof/>
        </w:rPr>
        <w:drawing>
          <wp:inline distT="0" distB="0" distL="0" distR="0" wp14:anchorId="7559CED8" wp14:editId="4FD36462">
            <wp:extent cx="5486400" cy="4287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Q3_140209.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287520"/>
                    </a:xfrm>
                    <a:prstGeom prst="rect">
                      <a:avLst/>
                    </a:prstGeom>
                  </pic:spPr>
                </pic:pic>
              </a:graphicData>
            </a:graphic>
          </wp:inline>
        </w:drawing>
      </w:r>
    </w:p>
    <w:p w14:paraId="40B5E3F6" w14:textId="77777777" w:rsidR="00827D71" w:rsidRDefault="00827D71" w:rsidP="008C1190">
      <w:pPr>
        <w:ind w:left="720" w:hanging="720"/>
      </w:pPr>
    </w:p>
    <w:p w14:paraId="7BBEE455" w14:textId="3C7230A5" w:rsidR="000E409E" w:rsidRDefault="000E409E" w:rsidP="000E409E">
      <w:r w:rsidRPr="000E409E">
        <w:rPr>
          <w:u w:val="single"/>
        </w:rPr>
        <w:t>Point of View Analysis</w:t>
      </w:r>
      <w:r>
        <w:t>: Members feel comfortable using the term “progressive” to describe themselves.  This strongly differentiates TMC members from those of other associations, for example, INN.</w:t>
      </w:r>
    </w:p>
    <w:p w14:paraId="33B83266" w14:textId="77777777" w:rsidR="000E409E" w:rsidRDefault="000E409E" w:rsidP="000E409E"/>
    <w:p w14:paraId="4BF24FDE" w14:textId="77777777" w:rsidR="00641D22" w:rsidRDefault="00641D22">
      <w:pPr>
        <w:rPr>
          <w:b/>
        </w:rPr>
      </w:pPr>
      <w:r>
        <w:rPr>
          <w:b/>
        </w:rPr>
        <w:br w:type="page"/>
      </w:r>
    </w:p>
    <w:p w14:paraId="0DB2C949" w14:textId="2B2A8FC6" w:rsidR="000E409E" w:rsidRPr="00641D22" w:rsidRDefault="00AA3D97" w:rsidP="000E409E">
      <w:pPr>
        <w:rPr>
          <w:b/>
        </w:rPr>
      </w:pPr>
      <w:r>
        <w:rPr>
          <w:b/>
        </w:rPr>
        <w:t xml:space="preserve">3. </w:t>
      </w:r>
      <w:r w:rsidR="000E409E" w:rsidRPr="000E409E">
        <w:rPr>
          <w:b/>
        </w:rPr>
        <w:t>Purpose</w:t>
      </w:r>
    </w:p>
    <w:p w14:paraId="1EE0A062" w14:textId="116FC088" w:rsidR="000E409E" w:rsidRDefault="002F4B4D" w:rsidP="000E409E">
      <w:r>
        <w:rPr>
          <w:noProof/>
        </w:rPr>
        <w:drawing>
          <wp:inline distT="0" distB="0" distL="0" distR="0" wp14:anchorId="0739E66B" wp14:editId="508ACD98">
            <wp:extent cx="4686300" cy="4059555"/>
            <wp:effectExtent l="0" t="0" r="1270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Q5_140209.png"/>
                    <pic:cNvPicPr/>
                  </pic:nvPicPr>
                  <pic:blipFill>
                    <a:blip r:embed="rId8">
                      <a:extLst>
                        <a:ext uri="{28A0092B-C50C-407E-A947-70E740481C1C}">
                          <a14:useLocalDpi xmlns:a14="http://schemas.microsoft.com/office/drawing/2010/main" val="0"/>
                        </a:ext>
                      </a:extLst>
                    </a:blip>
                    <a:stretch>
                      <a:fillRect/>
                    </a:stretch>
                  </pic:blipFill>
                  <pic:spPr>
                    <a:xfrm>
                      <a:off x="0" y="0"/>
                      <a:ext cx="4688481" cy="4061444"/>
                    </a:xfrm>
                    <a:prstGeom prst="rect">
                      <a:avLst/>
                    </a:prstGeom>
                  </pic:spPr>
                </pic:pic>
              </a:graphicData>
            </a:graphic>
          </wp:inline>
        </w:drawing>
      </w:r>
      <w:r w:rsidR="000E409E">
        <w:rPr>
          <w:noProof/>
        </w:rPr>
        <w:drawing>
          <wp:inline distT="0" distB="0" distL="0" distR="0" wp14:anchorId="377CB943" wp14:editId="4B590F2E">
            <wp:extent cx="4586179" cy="3937000"/>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Q2_140209.png"/>
                    <pic:cNvPicPr/>
                  </pic:nvPicPr>
                  <pic:blipFill>
                    <a:blip r:embed="rId9">
                      <a:extLst>
                        <a:ext uri="{28A0092B-C50C-407E-A947-70E740481C1C}">
                          <a14:useLocalDpi xmlns:a14="http://schemas.microsoft.com/office/drawing/2010/main" val="0"/>
                        </a:ext>
                      </a:extLst>
                    </a:blip>
                    <a:stretch>
                      <a:fillRect/>
                    </a:stretch>
                  </pic:blipFill>
                  <pic:spPr>
                    <a:xfrm>
                      <a:off x="0" y="0"/>
                      <a:ext cx="4587326" cy="3937985"/>
                    </a:xfrm>
                    <a:prstGeom prst="rect">
                      <a:avLst/>
                    </a:prstGeom>
                  </pic:spPr>
                </pic:pic>
              </a:graphicData>
            </a:graphic>
          </wp:inline>
        </w:drawing>
      </w:r>
    </w:p>
    <w:p w14:paraId="58465D5E" w14:textId="1BAE86A2" w:rsidR="000E409E" w:rsidRDefault="000E409E" w:rsidP="008C1190">
      <w:pPr>
        <w:ind w:left="720" w:hanging="720"/>
      </w:pPr>
    </w:p>
    <w:p w14:paraId="1C06A96D" w14:textId="5E006CC7" w:rsidR="000E409E" w:rsidRDefault="002F4B4D" w:rsidP="008C1190">
      <w:pPr>
        <w:ind w:left="720" w:hanging="720"/>
      </w:pPr>
      <w:r>
        <w:t>Here is another way to look at this data, using just key words</w:t>
      </w:r>
    </w:p>
    <w:p w14:paraId="10DFD49F" w14:textId="77777777" w:rsidR="002F4B4D" w:rsidRDefault="002F4B4D" w:rsidP="008C1190">
      <w:pPr>
        <w:ind w:left="720" w:hanging="720"/>
      </w:pPr>
    </w:p>
    <w:tbl>
      <w:tblPr>
        <w:tblStyle w:val="TableGrid"/>
        <w:tblW w:w="0" w:type="auto"/>
        <w:tblInd w:w="720" w:type="dxa"/>
        <w:tblLook w:val="04A0" w:firstRow="1" w:lastRow="0" w:firstColumn="1" w:lastColumn="0" w:noHBand="0" w:noVBand="1"/>
      </w:tblPr>
      <w:tblGrid>
        <w:gridCol w:w="2888"/>
        <w:gridCol w:w="2605"/>
        <w:gridCol w:w="2643"/>
      </w:tblGrid>
      <w:tr w:rsidR="002F4B4D" w14:paraId="35C26AC7" w14:textId="77777777" w:rsidTr="002F4B4D">
        <w:tc>
          <w:tcPr>
            <w:tcW w:w="2952" w:type="dxa"/>
          </w:tcPr>
          <w:p w14:paraId="00482B22" w14:textId="68E01957" w:rsidR="002F4B4D" w:rsidRPr="002F4B4D" w:rsidRDefault="002F4B4D" w:rsidP="008C1190">
            <w:pPr>
              <w:rPr>
                <w:b/>
              </w:rPr>
            </w:pPr>
            <w:r w:rsidRPr="002F4B4D">
              <w:rPr>
                <w:b/>
              </w:rPr>
              <w:t>Key Word</w:t>
            </w:r>
          </w:p>
        </w:tc>
        <w:tc>
          <w:tcPr>
            <w:tcW w:w="2952" w:type="dxa"/>
          </w:tcPr>
          <w:p w14:paraId="6BAB68BA" w14:textId="78390B06" w:rsidR="002F4B4D" w:rsidRPr="002F4B4D" w:rsidRDefault="002F4B4D" w:rsidP="008C1190">
            <w:pPr>
              <w:rPr>
                <w:b/>
              </w:rPr>
            </w:pPr>
            <w:r w:rsidRPr="002F4B4D">
              <w:rPr>
                <w:b/>
              </w:rPr>
              <w:t>Purpose</w:t>
            </w:r>
          </w:p>
        </w:tc>
        <w:tc>
          <w:tcPr>
            <w:tcW w:w="2952" w:type="dxa"/>
          </w:tcPr>
          <w:p w14:paraId="29DD9C50" w14:textId="3F68DF03" w:rsidR="002F4B4D" w:rsidRPr="002F4B4D" w:rsidRDefault="002F4B4D" w:rsidP="008C1190">
            <w:pPr>
              <w:rPr>
                <w:b/>
              </w:rPr>
            </w:pPr>
            <w:r w:rsidRPr="002F4B4D">
              <w:rPr>
                <w:b/>
              </w:rPr>
              <w:t>Definition</w:t>
            </w:r>
          </w:p>
        </w:tc>
      </w:tr>
      <w:tr w:rsidR="002F4B4D" w14:paraId="508B60AC" w14:textId="77777777" w:rsidTr="002F4B4D">
        <w:tc>
          <w:tcPr>
            <w:tcW w:w="2952" w:type="dxa"/>
          </w:tcPr>
          <w:p w14:paraId="0823D6AD" w14:textId="7CC125E4" w:rsidR="002F4B4D" w:rsidRDefault="002F4B4D" w:rsidP="008C1190">
            <w:r>
              <w:t>Peer Network</w:t>
            </w:r>
          </w:p>
        </w:tc>
        <w:tc>
          <w:tcPr>
            <w:tcW w:w="2952" w:type="dxa"/>
          </w:tcPr>
          <w:p w14:paraId="61EF6AE9" w14:textId="40C2821A" w:rsidR="002F4B4D" w:rsidRDefault="002F4B4D" w:rsidP="008C1190">
            <w:r>
              <w:t>24%</w:t>
            </w:r>
          </w:p>
        </w:tc>
        <w:tc>
          <w:tcPr>
            <w:tcW w:w="2952" w:type="dxa"/>
          </w:tcPr>
          <w:p w14:paraId="38E55219" w14:textId="0105F7CA" w:rsidR="002F4B4D" w:rsidRDefault="002F4B4D" w:rsidP="008C1190">
            <w:r>
              <w:t>42%</w:t>
            </w:r>
          </w:p>
        </w:tc>
      </w:tr>
      <w:tr w:rsidR="002F4B4D" w14:paraId="2393C874" w14:textId="77777777" w:rsidTr="002F4B4D">
        <w:tc>
          <w:tcPr>
            <w:tcW w:w="2952" w:type="dxa"/>
          </w:tcPr>
          <w:p w14:paraId="0E088D4A" w14:textId="18D79A3C" w:rsidR="002F4B4D" w:rsidRDefault="002F4B4D" w:rsidP="008C1190">
            <w:r>
              <w:t>Editorial Collaboration</w:t>
            </w:r>
          </w:p>
        </w:tc>
        <w:tc>
          <w:tcPr>
            <w:tcW w:w="2952" w:type="dxa"/>
          </w:tcPr>
          <w:p w14:paraId="79210B73" w14:textId="35405D6B" w:rsidR="002F4B4D" w:rsidRDefault="002F4B4D" w:rsidP="008C1190">
            <w:r>
              <w:t>27%</w:t>
            </w:r>
          </w:p>
        </w:tc>
        <w:tc>
          <w:tcPr>
            <w:tcW w:w="2952" w:type="dxa"/>
          </w:tcPr>
          <w:p w14:paraId="03C12421" w14:textId="014C97DC" w:rsidR="002F4B4D" w:rsidRDefault="002F4B4D" w:rsidP="008C1190">
            <w:r>
              <w:t>9%</w:t>
            </w:r>
          </w:p>
        </w:tc>
      </w:tr>
      <w:tr w:rsidR="002F4B4D" w14:paraId="5B98BB85" w14:textId="77777777" w:rsidTr="002F4B4D">
        <w:tc>
          <w:tcPr>
            <w:tcW w:w="2952" w:type="dxa"/>
          </w:tcPr>
          <w:p w14:paraId="777DC209" w14:textId="2244B3C2" w:rsidR="002F4B4D" w:rsidRDefault="002F4B4D" w:rsidP="008C1190">
            <w:r>
              <w:t>Impact</w:t>
            </w:r>
          </w:p>
        </w:tc>
        <w:tc>
          <w:tcPr>
            <w:tcW w:w="2952" w:type="dxa"/>
          </w:tcPr>
          <w:p w14:paraId="2E89C071" w14:textId="726A790F" w:rsidR="002F4B4D" w:rsidRDefault="002F4B4D" w:rsidP="008C1190">
            <w:r>
              <w:t>32%</w:t>
            </w:r>
          </w:p>
        </w:tc>
        <w:tc>
          <w:tcPr>
            <w:tcW w:w="2952" w:type="dxa"/>
          </w:tcPr>
          <w:p w14:paraId="75A87B8D" w14:textId="79B31FBF" w:rsidR="002F4B4D" w:rsidRDefault="002F4B4D" w:rsidP="008C1190">
            <w:r>
              <w:t>22%</w:t>
            </w:r>
          </w:p>
        </w:tc>
      </w:tr>
      <w:tr w:rsidR="002F4B4D" w14:paraId="26C79ABD" w14:textId="77777777" w:rsidTr="002F4B4D">
        <w:tc>
          <w:tcPr>
            <w:tcW w:w="2952" w:type="dxa"/>
          </w:tcPr>
          <w:p w14:paraId="0D5EBB5B" w14:textId="515A0893" w:rsidR="002F4B4D" w:rsidRDefault="002F4B4D" w:rsidP="008C1190">
            <w:r>
              <w:t>Technical</w:t>
            </w:r>
          </w:p>
        </w:tc>
        <w:tc>
          <w:tcPr>
            <w:tcW w:w="2952" w:type="dxa"/>
          </w:tcPr>
          <w:p w14:paraId="064643F7" w14:textId="67D5CBF5" w:rsidR="002F4B4D" w:rsidRDefault="002F4B4D" w:rsidP="008C1190">
            <w:r>
              <w:t>6%</w:t>
            </w:r>
          </w:p>
        </w:tc>
        <w:tc>
          <w:tcPr>
            <w:tcW w:w="2952" w:type="dxa"/>
          </w:tcPr>
          <w:p w14:paraId="50AA0D28" w14:textId="0FFE73A9" w:rsidR="002F4B4D" w:rsidRDefault="002F4B4D" w:rsidP="008C1190">
            <w:r>
              <w:t>3%</w:t>
            </w:r>
          </w:p>
        </w:tc>
      </w:tr>
      <w:tr w:rsidR="002F4B4D" w14:paraId="14A85F62" w14:textId="77777777" w:rsidTr="002F4B4D">
        <w:tc>
          <w:tcPr>
            <w:tcW w:w="2952" w:type="dxa"/>
          </w:tcPr>
          <w:p w14:paraId="52880B04" w14:textId="0607DA07" w:rsidR="002F4B4D" w:rsidRDefault="002F4B4D" w:rsidP="008C1190">
            <w:r>
              <w:t>Conventor/Consortium</w:t>
            </w:r>
          </w:p>
        </w:tc>
        <w:tc>
          <w:tcPr>
            <w:tcW w:w="2952" w:type="dxa"/>
          </w:tcPr>
          <w:p w14:paraId="481B87CC" w14:textId="2FA7E553" w:rsidR="002F4B4D" w:rsidRDefault="002F4B4D" w:rsidP="008C1190">
            <w:r>
              <w:t>9%</w:t>
            </w:r>
          </w:p>
        </w:tc>
        <w:tc>
          <w:tcPr>
            <w:tcW w:w="2952" w:type="dxa"/>
          </w:tcPr>
          <w:p w14:paraId="633573CD" w14:textId="57156D34" w:rsidR="002F4B4D" w:rsidRDefault="002F4B4D" w:rsidP="008C1190">
            <w:r>
              <w:t>22%</w:t>
            </w:r>
          </w:p>
        </w:tc>
      </w:tr>
      <w:tr w:rsidR="002F4B4D" w14:paraId="24988DFA" w14:textId="77777777" w:rsidTr="002F4B4D">
        <w:tc>
          <w:tcPr>
            <w:tcW w:w="2952" w:type="dxa"/>
          </w:tcPr>
          <w:p w14:paraId="1A5FF943" w14:textId="783FC055" w:rsidR="002F4B4D" w:rsidRDefault="002F4B4D" w:rsidP="008C1190">
            <w:r>
              <w:t>Shut Down/Sunset</w:t>
            </w:r>
          </w:p>
        </w:tc>
        <w:tc>
          <w:tcPr>
            <w:tcW w:w="2952" w:type="dxa"/>
          </w:tcPr>
          <w:p w14:paraId="6EEA3DD4" w14:textId="6C0B4BBD" w:rsidR="002F4B4D" w:rsidRDefault="002F4B4D" w:rsidP="008C1190">
            <w:r>
              <w:t>0</w:t>
            </w:r>
          </w:p>
        </w:tc>
        <w:tc>
          <w:tcPr>
            <w:tcW w:w="2952" w:type="dxa"/>
          </w:tcPr>
          <w:p w14:paraId="2B52DA97" w14:textId="0865886D" w:rsidR="002F4B4D" w:rsidRDefault="002F4B4D" w:rsidP="008C1190">
            <w:r>
              <w:t>.1%</w:t>
            </w:r>
          </w:p>
        </w:tc>
      </w:tr>
      <w:tr w:rsidR="002F4B4D" w14:paraId="701BFCE1" w14:textId="77777777" w:rsidTr="002F4B4D">
        <w:tc>
          <w:tcPr>
            <w:tcW w:w="2952" w:type="dxa"/>
          </w:tcPr>
          <w:p w14:paraId="0B8B6F5D" w14:textId="2A62FC10" w:rsidR="002F4B4D" w:rsidRDefault="002F4B4D" w:rsidP="008C1190">
            <w:r>
              <w:t>Other</w:t>
            </w:r>
          </w:p>
        </w:tc>
        <w:tc>
          <w:tcPr>
            <w:tcW w:w="2952" w:type="dxa"/>
          </w:tcPr>
          <w:p w14:paraId="7F3BF775" w14:textId="3A2F6D54" w:rsidR="002F4B4D" w:rsidRDefault="002F4B4D" w:rsidP="008C1190">
            <w:r>
              <w:t>.1%</w:t>
            </w:r>
          </w:p>
        </w:tc>
        <w:tc>
          <w:tcPr>
            <w:tcW w:w="2952" w:type="dxa"/>
          </w:tcPr>
          <w:p w14:paraId="3A9137F1" w14:textId="4881FE0A" w:rsidR="002F4B4D" w:rsidRDefault="002F4B4D" w:rsidP="008C1190">
            <w:r>
              <w:t>0</w:t>
            </w:r>
          </w:p>
        </w:tc>
      </w:tr>
    </w:tbl>
    <w:p w14:paraId="469E6CE0" w14:textId="77777777" w:rsidR="000E409E" w:rsidRDefault="000E409E" w:rsidP="008C1190">
      <w:pPr>
        <w:ind w:left="720" w:hanging="720"/>
      </w:pPr>
    </w:p>
    <w:p w14:paraId="46C3A2A5" w14:textId="34A515FC" w:rsidR="000E409E" w:rsidRDefault="002F4B4D" w:rsidP="002F4B4D">
      <w:r w:rsidRPr="002F4B4D">
        <w:rPr>
          <w:u w:val="single"/>
        </w:rPr>
        <w:t>Purpose Analysis</w:t>
      </w:r>
      <w:r>
        <w:rPr>
          <w:u w:val="single"/>
        </w:rPr>
        <w:t xml:space="preserve">: </w:t>
      </w:r>
      <w:r>
        <w:t xml:space="preserve"> What is most striking about the survey results is that they show what the Media Consoritum is NOT: it is not </w:t>
      </w:r>
      <w:r w:rsidR="00281D6F">
        <w:t xml:space="preserve">primarily </w:t>
      </w:r>
      <w:r>
        <w:t>the place members look for technology ad</w:t>
      </w:r>
      <w:r w:rsidR="00281D6F">
        <w:t>vice or best business practices.  The other clear message is that the respondents did not see a reason to sunset the organization—they feel it is still vital.</w:t>
      </w:r>
    </w:p>
    <w:p w14:paraId="1B14954E" w14:textId="77777777" w:rsidR="00281D6F" w:rsidRDefault="00281D6F" w:rsidP="002F4B4D"/>
    <w:p w14:paraId="6EE427E4" w14:textId="77777777" w:rsidR="00C8633C" w:rsidRDefault="00281D6F" w:rsidP="00C8633C">
      <w:r>
        <w:t xml:space="preserve">When respondents thought about the purpose of the Media Consortium—what it is meant to do—they emphasized impact and collaboration (59%). </w:t>
      </w:r>
      <w:r w:rsidR="00C8633C">
        <w:t>The survey did not ask about the relationship between impact and collaboration.</w:t>
      </w:r>
    </w:p>
    <w:p w14:paraId="16B9B49D" w14:textId="77777777" w:rsidR="00281D6F" w:rsidRDefault="00281D6F" w:rsidP="002F4B4D"/>
    <w:p w14:paraId="364D9E69" w14:textId="59971CD1" w:rsidR="00281D6F" w:rsidRDefault="00281D6F" w:rsidP="002F4B4D">
      <w:r>
        <w:t xml:space="preserve">When they thought most about the definition of the Media Consortium—what it is—they stressed the peer network and were even willing to extend the notion of that network beyond news outlets to allies and funders (64%). </w:t>
      </w:r>
    </w:p>
    <w:p w14:paraId="2848964A" w14:textId="77777777" w:rsidR="00281D6F" w:rsidRDefault="00281D6F" w:rsidP="002F4B4D"/>
    <w:p w14:paraId="461A6584" w14:textId="77777777" w:rsidR="00281D6F" w:rsidRDefault="00281D6F" w:rsidP="002F4B4D"/>
    <w:p w14:paraId="337BADA0" w14:textId="77777777" w:rsidR="00641D22" w:rsidRDefault="00641D22">
      <w:pPr>
        <w:rPr>
          <w:b/>
        </w:rPr>
      </w:pPr>
      <w:r>
        <w:rPr>
          <w:b/>
        </w:rPr>
        <w:br w:type="page"/>
      </w:r>
    </w:p>
    <w:p w14:paraId="7DB54A3F" w14:textId="4A081789" w:rsidR="00281D6F" w:rsidRPr="00281D6F" w:rsidRDefault="00AA3D97" w:rsidP="002F4B4D">
      <w:pPr>
        <w:rPr>
          <w:b/>
        </w:rPr>
      </w:pPr>
      <w:r>
        <w:rPr>
          <w:b/>
        </w:rPr>
        <w:t xml:space="preserve">4. </w:t>
      </w:r>
      <w:r w:rsidR="00281D6F" w:rsidRPr="00281D6F">
        <w:rPr>
          <w:b/>
        </w:rPr>
        <w:t>Mission-Related Activities</w:t>
      </w:r>
    </w:p>
    <w:p w14:paraId="2EEE562A" w14:textId="77777777" w:rsidR="00281D6F" w:rsidRPr="002F4B4D" w:rsidRDefault="00281D6F" w:rsidP="002F4B4D"/>
    <w:p w14:paraId="4E73081B" w14:textId="07834D92" w:rsidR="00281D6F" w:rsidRDefault="00281D6F" w:rsidP="00281D6F">
      <w:pPr>
        <w:tabs>
          <w:tab w:val="left" w:pos="0"/>
          <w:tab w:val="left" w:pos="810"/>
        </w:tabs>
      </w:pPr>
      <w:r>
        <w:t>This survey was not designed to drill down into specifics, but to give a better understanding of  the purpose/definitiion questions respondents were asked whether five different activities were core to the mission of the Consortium.  These activities were designed to reflect the purpose/definition questions.</w:t>
      </w:r>
    </w:p>
    <w:p w14:paraId="2733EC9A" w14:textId="77777777" w:rsidR="00641D22" w:rsidRDefault="00641D22" w:rsidP="00281D6F">
      <w:pPr>
        <w:tabs>
          <w:tab w:val="left" w:pos="0"/>
          <w:tab w:val="left" w:pos="810"/>
        </w:tabs>
      </w:pPr>
    </w:p>
    <w:p w14:paraId="0E088A78" w14:textId="01767C85" w:rsidR="00641D22" w:rsidRPr="00641D22" w:rsidRDefault="00641D22" w:rsidP="00281D6F">
      <w:pPr>
        <w:tabs>
          <w:tab w:val="left" w:pos="0"/>
          <w:tab w:val="left" w:pos="810"/>
        </w:tabs>
        <w:rPr>
          <w:b/>
        </w:rPr>
      </w:pPr>
      <w:r w:rsidRPr="00641D22">
        <w:rPr>
          <w:rFonts w:eastAsia="Times New Roman" w:cs="Times New Roman"/>
          <w:b/>
        </w:rPr>
        <w:t>Please rate these current and future activities of the Media Consortium. Please base your rating on your vision of what the Media Consortium could be at its best.</w:t>
      </w:r>
    </w:p>
    <w:p w14:paraId="6EF35150" w14:textId="77777777" w:rsidR="00281D6F" w:rsidRDefault="00281D6F" w:rsidP="00281D6F">
      <w:pPr>
        <w:tabs>
          <w:tab w:val="left" w:pos="0"/>
          <w:tab w:val="left" w:pos="810"/>
        </w:tabs>
      </w:pPr>
    </w:p>
    <w:tbl>
      <w:tblPr>
        <w:tblStyle w:val="TableGrid"/>
        <w:tblW w:w="0" w:type="auto"/>
        <w:tblLook w:val="04A0" w:firstRow="1" w:lastRow="0" w:firstColumn="1" w:lastColumn="0" w:noHBand="0" w:noVBand="1"/>
      </w:tblPr>
      <w:tblGrid>
        <w:gridCol w:w="1800"/>
        <w:gridCol w:w="1714"/>
        <w:gridCol w:w="919"/>
        <w:gridCol w:w="1539"/>
        <w:gridCol w:w="1546"/>
        <w:gridCol w:w="1338"/>
      </w:tblGrid>
      <w:tr w:rsidR="00281D6F" w14:paraId="5C841C6A" w14:textId="77777777" w:rsidTr="00292577">
        <w:tc>
          <w:tcPr>
            <w:tcW w:w="1818" w:type="dxa"/>
          </w:tcPr>
          <w:p w14:paraId="47746B86" w14:textId="7523593D" w:rsidR="00281D6F" w:rsidRDefault="00281D6F" w:rsidP="00281D6F">
            <w:pPr>
              <w:tabs>
                <w:tab w:val="left" w:pos="0"/>
                <w:tab w:val="left" w:pos="810"/>
              </w:tabs>
            </w:pPr>
            <w:r>
              <w:t>Purpose</w:t>
            </w:r>
          </w:p>
        </w:tc>
        <w:tc>
          <w:tcPr>
            <w:tcW w:w="1620" w:type="dxa"/>
          </w:tcPr>
          <w:p w14:paraId="584DCD4B" w14:textId="68238234" w:rsidR="00281D6F" w:rsidRDefault="00281D6F" w:rsidP="00281D6F">
            <w:pPr>
              <w:tabs>
                <w:tab w:val="left" w:pos="0"/>
                <w:tab w:val="left" w:pos="810"/>
              </w:tabs>
            </w:pPr>
            <w:r>
              <w:t>Activity</w:t>
            </w:r>
          </w:p>
        </w:tc>
        <w:tc>
          <w:tcPr>
            <w:tcW w:w="940" w:type="dxa"/>
          </w:tcPr>
          <w:p w14:paraId="3BC99960" w14:textId="3546E746" w:rsidR="00281D6F" w:rsidRDefault="00281D6F" w:rsidP="00281D6F">
            <w:pPr>
              <w:tabs>
                <w:tab w:val="left" w:pos="0"/>
                <w:tab w:val="left" w:pos="810"/>
              </w:tabs>
            </w:pPr>
            <w:r>
              <w:t>Core</w:t>
            </w:r>
          </w:p>
        </w:tc>
        <w:tc>
          <w:tcPr>
            <w:tcW w:w="1564" w:type="dxa"/>
          </w:tcPr>
          <w:p w14:paraId="400DDDA1" w14:textId="7C232EDC" w:rsidR="00281D6F" w:rsidRDefault="00281D6F" w:rsidP="00281D6F">
            <w:pPr>
              <w:tabs>
                <w:tab w:val="left" w:pos="0"/>
                <w:tab w:val="left" w:pos="810"/>
              </w:tabs>
            </w:pPr>
            <w:r>
              <w:t>Important</w:t>
            </w:r>
          </w:p>
        </w:tc>
        <w:tc>
          <w:tcPr>
            <w:tcW w:w="1546" w:type="dxa"/>
          </w:tcPr>
          <w:p w14:paraId="6EFC3696" w14:textId="6CC9A43B" w:rsidR="00281D6F" w:rsidRDefault="00281D6F" w:rsidP="00281D6F">
            <w:pPr>
              <w:tabs>
                <w:tab w:val="left" w:pos="0"/>
                <w:tab w:val="left" w:pos="810"/>
              </w:tabs>
            </w:pPr>
            <w:r>
              <w:t>Unimportant</w:t>
            </w:r>
          </w:p>
        </w:tc>
        <w:tc>
          <w:tcPr>
            <w:tcW w:w="1368" w:type="dxa"/>
          </w:tcPr>
          <w:p w14:paraId="5CC7152C" w14:textId="0EAE6472" w:rsidR="00281D6F" w:rsidRDefault="00281D6F" w:rsidP="00281D6F">
            <w:pPr>
              <w:tabs>
                <w:tab w:val="left" w:pos="0"/>
                <w:tab w:val="left" w:pos="810"/>
              </w:tabs>
            </w:pPr>
            <w:r>
              <w:t>Off Mission</w:t>
            </w:r>
          </w:p>
        </w:tc>
      </w:tr>
      <w:tr w:rsidR="00281D6F" w14:paraId="6EEB4BDE" w14:textId="77777777" w:rsidTr="00292577">
        <w:tc>
          <w:tcPr>
            <w:tcW w:w="1818" w:type="dxa"/>
          </w:tcPr>
          <w:p w14:paraId="5342E9C5" w14:textId="53502A60" w:rsidR="00281D6F" w:rsidRDefault="00281D6F" w:rsidP="00281D6F">
            <w:pPr>
              <w:tabs>
                <w:tab w:val="left" w:pos="0"/>
                <w:tab w:val="left" w:pos="810"/>
              </w:tabs>
            </w:pPr>
            <w:r>
              <w:t>Peer Network</w:t>
            </w:r>
          </w:p>
        </w:tc>
        <w:tc>
          <w:tcPr>
            <w:tcW w:w="1620" w:type="dxa"/>
          </w:tcPr>
          <w:p w14:paraId="490F0D8C" w14:textId="45769139" w:rsidR="00281D6F" w:rsidRDefault="00281D6F" w:rsidP="00281D6F">
            <w:pPr>
              <w:tabs>
                <w:tab w:val="left" w:pos="0"/>
                <w:tab w:val="left" w:pos="810"/>
              </w:tabs>
            </w:pPr>
            <w:r>
              <w:t>Listserv</w:t>
            </w:r>
          </w:p>
        </w:tc>
        <w:tc>
          <w:tcPr>
            <w:tcW w:w="940" w:type="dxa"/>
          </w:tcPr>
          <w:p w14:paraId="61878BAC" w14:textId="70AE0435" w:rsidR="00281D6F" w:rsidRDefault="00281D6F" w:rsidP="00C8633C">
            <w:pPr>
              <w:tabs>
                <w:tab w:val="left" w:pos="0"/>
                <w:tab w:val="left" w:pos="810"/>
              </w:tabs>
              <w:jc w:val="right"/>
            </w:pPr>
            <w:r>
              <w:t>44%</w:t>
            </w:r>
          </w:p>
        </w:tc>
        <w:tc>
          <w:tcPr>
            <w:tcW w:w="1564" w:type="dxa"/>
          </w:tcPr>
          <w:p w14:paraId="28064131" w14:textId="5EE4508D" w:rsidR="00281D6F" w:rsidRDefault="00281D6F" w:rsidP="00C8633C">
            <w:pPr>
              <w:tabs>
                <w:tab w:val="left" w:pos="0"/>
                <w:tab w:val="left" w:pos="810"/>
              </w:tabs>
              <w:jc w:val="right"/>
            </w:pPr>
            <w:r>
              <w:t>52%</w:t>
            </w:r>
          </w:p>
        </w:tc>
        <w:tc>
          <w:tcPr>
            <w:tcW w:w="1546" w:type="dxa"/>
          </w:tcPr>
          <w:p w14:paraId="12FFCA5F" w14:textId="77F30F41" w:rsidR="00281D6F" w:rsidRDefault="00281D6F" w:rsidP="00C8633C">
            <w:pPr>
              <w:tabs>
                <w:tab w:val="left" w:pos="0"/>
                <w:tab w:val="left" w:pos="810"/>
              </w:tabs>
              <w:jc w:val="right"/>
            </w:pPr>
            <w:r>
              <w:t>1%</w:t>
            </w:r>
          </w:p>
        </w:tc>
        <w:tc>
          <w:tcPr>
            <w:tcW w:w="1368" w:type="dxa"/>
          </w:tcPr>
          <w:p w14:paraId="7A03629E" w14:textId="429D2F3E" w:rsidR="00281D6F" w:rsidRDefault="00281D6F" w:rsidP="00C8633C">
            <w:pPr>
              <w:tabs>
                <w:tab w:val="left" w:pos="0"/>
                <w:tab w:val="left" w:pos="810"/>
              </w:tabs>
              <w:jc w:val="right"/>
            </w:pPr>
            <w:r>
              <w:t>0</w:t>
            </w:r>
          </w:p>
        </w:tc>
      </w:tr>
      <w:tr w:rsidR="00281D6F" w14:paraId="04395691" w14:textId="77777777" w:rsidTr="00292577">
        <w:tc>
          <w:tcPr>
            <w:tcW w:w="1818" w:type="dxa"/>
          </w:tcPr>
          <w:p w14:paraId="53CA893F" w14:textId="0245FE7A" w:rsidR="00281D6F" w:rsidRDefault="00292577" w:rsidP="00281D6F">
            <w:pPr>
              <w:tabs>
                <w:tab w:val="left" w:pos="0"/>
                <w:tab w:val="left" w:pos="810"/>
              </w:tabs>
            </w:pPr>
            <w:r>
              <w:t>Convenor</w:t>
            </w:r>
          </w:p>
        </w:tc>
        <w:tc>
          <w:tcPr>
            <w:tcW w:w="1620" w:type="dxa"/>
          </w:tcPr>
          <w:p w14:paraId="1C000AA2" w14:textId="575435FB" w:rsidR="00281D6F" w:rsidRDefault="00292577" w:rsidP="00281D6F">
            <w:pPr>
              <w:tabs>
                <w:tab w:val="left" w:pos="0"/>
                <w:tab w:val="left" w:pos="810"/>
              </w:tabs>
            </w:pPr>
            <w:r>
              <w:t>Conference</w:t>
            </w:r>
          </w:p>
        </w:tc>
        <w:tc>
          <w:tcPr>
            <w:tcW w:w="940" w:type="dxa"/>
          </w:tcPr>
          <w:p w14:paraId="48A4AD09" w14:textId="3B8C38C0" w:rsidR="00281D6F" w:rsidRDefault="00292577" w:rsidP="00C8633C">
            <w:pPr>
              <w:tabs>
                <w:tab w:val="left" w:pos="0"/>
                <w:tab w:val="left" w:pos="810"/>
              </w:tabs>
              <w:jc w:val="right"/>
            </w:pPr>
            <w:r>
              <w:t>28%</w:t>
            </w:r>
          </w:p>
        </w:tc>
        <w:tc>
          <w:tcPr>
            <w:tcW w:w="1564" w:type="dxa"/>
          </w:tcPr>
          <w:p w14:paraId="708F1758" w14:textId="0D69F57F" w:rsidR="00281D6F" w:rsidRDefault="00292577" w:rsidP="00C8633C">
            <w:pPr>
              <w:tabs>
                <w:tab w:val="left" w:pos="0"/>
                <w:tab w:val="left" w:pos="810"/>
              </w:tabs>
              <w:jc w:val="right"/>
            </w:pPr>
            <w:r>
              <w:t>65%</w:t>
            </w:r>
          </w:p>
        </w:tc>
        <w:tc>
          <w:tcPr>
            <w:tcW w:w="1546" w:type="dxa"/>
          </w:tcPr>
          <w:p w14:paraId="3C7F8C72" w14:textId="4EBBBE6B" w:rsidR="00281D6F" w:rsidRDefault="00C8633C" w:rsidP="00C8633C">
            <w:pPr>
              <w:tabs>
                <w:tab w:val="left" w:pos="0"/>
                <w:tab w:val="left" w:pos="810"/>
              </w:tabs>
              <w:jc w:val="right"/>
            </w:pPr>
            <w:r>
              <w:t>5%</w:t>
            </w:r>
          </w:p>
        </w:tc>
        <w:tc>
          <w:tcPr>
            <w:tcW w:w="1368" w:type="dxa"/>
          </w:tcPr>
          <w:p w14:paraId="043BC676" w14:textId="0A5C5CEF" w:rsidR="00281D6F" w:rsidRDefault="00292577" w:rsidP="00C8633C">
            <w:pPr>
              <w:tabs>
                <w:tab w:val="left" w:pos="0"/>
                <w:tab w:val="left" w:pos="810"/>
              </w:tabs>
              <w:jc w:val="right"/>
            </w:pPr>
            <w:r>
              <w:t>0</w:t>
            </w:r>
          </w:p>
        </w:tc>
      </w:tr>
      <w:tr w:rsidR="00281D6F" w14:paraId="7C83FD3D" w14:textId="77777777" w:rsidTr="00292577">
        <w:tc>
          <w:tcPr>
            <w:tcW w:w="1818" w:type="dxa"/>
          </w:tcPr>
          <w:p w14:paraId="26BAA6E9" w14:textId="52404FF5" w:rsidR="00281D6F" w:rsidRDefault="00292577" w:rsidP="00281D6F">
            <w:pPr>
              <w:tabs>
                <w:tab w:val="left" w:pos="0"/>
                <w:tab w:val="left" w:pos="810"/>
              </w:tabs>
            </w:pPr>
            <w:r>
              <w:t>Peer Network</w:t>
            </w:r>
          </w:p>
        </w:tc>
        <w:tc>
          <w:tcPr>
            <w:tcW w:w="1620" w:type="dxa"/>
          </w:tcPr>
          <w:p w14:paraId="61A1EEE4" w14:textId="03F3176C" w:rsidR="00281D6F" w:rsidRDefault="00292577" w:rsidP="00281D6F">
            <w:pPr>
              <w:tabs>
                <w:tab w:val="left" w:pos="0"/>
                <w:tab w:val="left" w:pos="810"/>
              </w:tabs>
            </w:pPr>
            <w:r>
              <w:t>Regional  Meetings</w:t>
            </w:r>
          </w:p>
        </w:tc>
        <w:tc>
          <w:tcPr>
            <w:tcW w:w="940" w:type="dxa"/>
          </w:tcPr>
          <w:p w14:paraId="1C568E27" w14:textId="1384E1AB" w:rsidR="00281D6F" w:rsidRDefault="00C8633C" w:rsidP="00C8633C">
            <w:pPr>
              <w:tabs>
                <w:tab w:val="left" w:pos="0"/>
                <w:tab w:val="left" w:pos="810"/>
              </w:tabs>
              <w:jc w:val="right"/>
            </w:pPr>
            <w:r>
              <w:t>6%</w:t>
            </w:r>
          </w:p>
        </w:tc>
        <w:tc>
          <w:tcPr>
            <w:tcW w:w="1564" w:type="dxa"/>
          </w:tcPr>
          <w:p w14:paraId="3F98222B" w14:textId="6BD22BF1" w:rsidR="00281D6F" w:rsidRDefault="00C8633C" w:rsidP="00C8633C">
            <w:pPr>
              <w:tabs>
                <w:tab w:val="left" w:pos="0"/>
                <w:tab w:val="left" w:pos="810"/>
              </w:tabs>
              <w:jc w:val="right"/>
            </w:pPr>
            <w:r>
              <w:t>56%</w:t>
            </w:r>
          </w:p>
        </w:tc>
        <w:tc>
          <w:tcPr>
            <w:tcW w:w="1546" w:type="dxa"/>
          </w:tcPr>
          <w:p w14:paraId="4A63A7B5" w14:textId="78ECC00C" w:rsidR="00281D6F" w:rsidRDefault="00C8633C" w:rsidP="00C8633C">
            <w:pPr>
              <w:tabs>
                <w:tab w:val="left" w:pos="0"/>
                <w:tab w:val="left" w:pos="810"/>
              </w:tabs>
              <w:jc w:val="right"/>
            </w:pPr>
            <w:r>
              <w:t>32%</w:t>
            </w:r>
          </w:p>
        </w:tc>
        <w:tc>
          <w:tcPr>
            <w:tcW w:w="1368" w:type="dxa"/>
          </w:tcPr>
          <w:p w14:paraId="6C25ADA8" w14:textId="1465EA89" w:rsidR="00281D6F" w:rsidRDefault="00292577" w:rsidP="00C8633C">
            <w:pPr>
              <w:tabs>
                <w:tab w:val="left" w:pos="0"/>
                <w:tab w:val="left" w:pos="810"/>
              </w:tabs>
              <w:jc w:val="right"/>
            </w:pPr>
            <w:r>
              <w:t>1%</w:t>
            </w:r>
          </w:p>
        </w:tc>
      </w:tr>
      <w:tr w:rsidR="00281D6F" w14:paraId="2373FFFD" w14:textId="77777777" w:rsidTr="00292577">
        <w:tc>
          <w:tcPr>
            <w:tcW w:w="1818" w:type="dxa"/>
          </w:tcPr>
          <w:p w14:paraId="6E970D0F" w14:textId="62C39334" w:rsidR="00281D6F" w:rsidRDefault="00292577" w:rsidP="00281D6F">
            <w:pPr>
              <w:tabs>
                <w:tab w:val="left" w:pos="0"/>
                <w:tab w:val="left" w:pos="810"/>
              </w:tabs>
            </w:pPr>
            <w:r>
              <w:t>Collaboration</w:t>
            </w:r>
          </w:p>
        </w:tc>
        <w:tc>
          <w:tcPr>
            <w:tcW w:w="1620" w:type="dxa"/>
          </w:tcPr>
          <w:p w14:paraId="33DCFB0D" w14:textId="1FD6426F" w:rsidR="00281D6F" w:rsidRDefault="00292577" w:rsidP="00281D6F">
            <w:pPr>
              <w:tabs>
                <w:tab w:val="left" w:pos="0"/>
                <w:tab w:val="left" w:pos="810"/>
              </w:tabs>
            </w:pPr>
            <w:r>
              <w:t>Collaborations</w:t>
            </w:r>
          </w:p>
        </w:tc>
        <w:tc>
          <w:tcPr>
            <w:tcW w:w="940" w:type="dxa"/>
          </w:tcPr>
          <w:p w14:paraId="3F97EC47" w14:textId="2D90842C" w:rsidR="00281D6F" w:rsidRDefault="00C8633C" w:rsidP="00C8633C">
            <w:pPr>
              <w:tabs>
                <w:tab w:val="left" w:pos="0"/>
                <w:tab w:val="left" w:pos="810"/>
              </w:tabs>
              <w:jc w:val="right"/>
            </w:pPr>
            <w:r>
              <w:t>35%</w:t>
            </w:r>
          </w:p>
        </w:tc>
        <w:tc>
          <w:tcPr>
            <w:tcW w:w="1564" w:type="dxa"/>
          </w:tcPr>
          <w:p w14:paraId="42502F5E" w14:textId="1C2B508C" w:rsidR="00281D6F" w:rsidRDefault="00C8633C" w:rsidP="00C8633C">
            <w:pPr>
              <w:tabs>
                <w:tab w:val="left" w:pos="0"/>
                <w:tab w:val="left" w:pos="810"/>
              </w:tabs>
              <w:jc w:val="right"/>
            </w:pPr>
            <w:r>
              <w:t>48%</w:t>
            </w:r>
          </w:p>
        </w:tc>
        <w:tc>
          <w:tcPr>
            <w:tcW w:w="1546" w:type="dxa"/>
          </w:tcPr>
          <w:p w14:paraId="1935FF3E" w14:textId="44BDC60E" w:rsidR="00281D6F" w:rsidRDefault="00C8633C" w:rsidP="00C8633C">
            <w:pPr>
              <w:tabs>
                <w:tab w:val="left" w:pos="0"/>
                <w:tab w:val="left" w:pos="810"/>
              </w:tabs>
              <w:jc w:val="right"/>
            </w:pPr>
            <w:r>
              <w:t>13%</w:t>
            </w:r>
          </w:p>
        </w:tc>
        <w:tc>
          <w:tcPr>
            <w:tcW w:w="1368" w:type="dxa"/>
          </w:tcPr>
          <w:p w14:paraId="478DBC0C" w14:textId="3CB86DE2" w:rsidR="00281D6F" w:rsidRDefault="00292577" w:rsidP="00C8633C">
            <w:pPr>
              <w:tabs>
                <w:tab w:val="left" w:pos="0"/>
                <w:tab w:val="left" w:pos="810"/>
              </w:tabs>
              <w:jc w:val="right"/>
            </w:pPr>
            <w:r>
              <w:t>0</w:t>
            </w:r>
          </w:p>
        </w:tc>
      </w:tr>
      <w:tr w:rsidR="00281D6F" w14:paraId="303B7C7B" w14:textId="77777777" w:rsidTr="00292577">
        <w:tc>
          <w:tcPr>
            <w:tcW w:w="1818" w:type="dxa"/>
          </w:tcPr>
          <w:p w14:paraId="34304867" w14:textId="580C1662" w:rsidR="00281D6F" w:rsidRDefault="00292577" w:rsidP="00281D6F">
            <w:pPr>
              <w:tabs>
                <w:tab w:val="left" w:pos="0"/>
                <w:tab w:val="left" w:pos="810"/>
              </w:tabs>
            </w:pPr>
            <w:r>
              <w:t>Technical</w:t>
            </w:r>
          </w:p>
        </w:tc>
        <w:tc>
          <w:tcPr>
            <w:tcW w:w="1620" w:type="dxa"/>
          </w:tcPr>
          <w:p w14:paraId="3B5679CD" w14:textId="79BF58A3" w:rsidR="00281D6F" w:rsidRDefault="00292577" w:rsidP="00281D6F">
            <w:pPr>
              <w:tabs>
                <w:tab w:val="left" w:pos="0"/>
                <w:tab w:val="left" w:pos="810"/>
              </w:tabs>
            </w:pPr>
            <w:r>
              <w:t>Tech Training</w:t>
            </w:r>
          </w:p>
        </w:tc>
        <w:tc>
          <w:tcPr>
            <w:tcW w:w="940" w:type="dxa"/>
          </w:tcPr>
          <w:p w14:paraId="7F8B73E7" w14:textId="3F63CD98" w:rsidR="00281D6F" w:rsidRDefault="00C8633C" w:rsidP="00C8633C">
            <w:pPr>
              <w:tabs>
                <w:tab w:val="left" w:pos="0"/>
                <w:tab w:val="left" w:pos="810"/>
              </w:tabs>
              <w:jc w:val="right"/>
            </w:pPr>
            <w:r>
              <w:t>21%</w:t>
            </w:r>
          </w:p>
        </w:tc>
        <w:tc>
          <w:tcPr>
            <w:tcW w:w="1564" w:type="dxa"/>
          </w:tcPr>
          <w:p w14:paraId="23EA5B3B" w14:textId="72D31722" w:rsidR="00281D6F" w:rsidRDefault="00C8633C" w:rsidP="00C8633C">
            <w:pPr>
              <w:tabs>
                <w:tab w:val="left" w:pos="0"/>
                <w:tab w:val="left" w:pos="810"/>
              </w:tabs>
              <w:jc w:val="right"/>
            </w:pPr>
            <w:r>
              <w:t>65%</w:t>
            </w:r>
          </w:p>
        </w:tc>
        <w:tc>
          <w:tcPr>
            <w:tcW w:w="1546" w:type="dxa"/>
          </w:tcPr>
          <w:p w14:paraId="70BAB914" w14:textId="272B682B" w:rsidR="00281D6F" w:rsidRDefault="00C8633C" w:rsidP="00C8633C">
            <w:pPr>
              <w:tabs>
                <w:tab w:val="left" w:pos="0"/>
                <w:tab w:val="left" w:pos="810"/>
              </w:tabs>
              <w:jc w:val="right"/>
            </w:pPr>
            <w:r>
              <w:t>11%</w:t>
            </w:r>
          </w:p>
        </w:tc>
        <w:tc>
          <w:tcPr>
            <w:tcW w:w="1368" w:type="dxa"/>
          </w:tcPr>
          <w:p w14:paraId="465B1B84" w14:textId="24E3359B" w:rsidR="00281D6F" w:rsidRDefault="00292577" w:rsidP="00C8633C">
            <w:pPr>
              <w:tabs>
                <w:tab w:val="left" w:pos="0"/>
                <w:tab w:val="left" w:pos="810"/>
              </w:tabs>
              <w:jc w:val="right"/>
            </w:pPr>
            <w:r>
              <w:t>1%</w:t>
            </w:r>
          </w:p>
        </w:tc>
      </w:tr>
    </w:tbl>
    <w:p w14:paraId="534395E8" w14:textId="77777777" w:rsidR="00281D6F" w:rsidRDefault="00281D6F" w:rsidP="00281D6F">
      <w:pPr>
        <w:tabs>
          <w:tab w:val="left" w:pos="0"/>
          <w:tab w:val="left" w:pos="810"/>
        </w:tabs>
      </w:pPr>
    </w:p>
    <w:p w14:paraId="3CBBBA73" w14:textId="77777777" w:rsidR="00281D6F" w:rsidRDefault="00281D6F" w:rsidP="008C1190">
      <w:pPr>
        <w:ind w:left="720" w:hanging="720"/>
      </w:pPr>
    </w:p>
    <w:p w14:paraId="7A76E39A" w14:textId="31CEDC8B" w:rsidR="00281D6F" w:rsidRDefault="00C8633C" w:rsidP="00C8633C">
      <w:r w:rsidRPr="00C8633C">
        <w:rPr>
          <w:u w:val="single"/>
        </w:rPr>
        <w:t>Mission-Related Activities Analysis</w:t>
      </w:r>
      <w:r>
        <w:t xml:space="preserve">: Once again, the peer network and collaboration are clearly seen as core to the mission of the Media Consortium. Perhaps reflective of the national (and international) aspirations of members, or possibly only of their limited time, regional meetings were not seen as important as national and digital means of networking. </w:t>
      </w:r>
    </w:p>
    <w:p w14:paraId="2BDF550F" w14:textId="77777777" w:rsidR="00C8633C" w:rsidRDefault="00C8633C" w:rsidP="00C8633C"/>
    <w:p w14:paraId="67EF8DE5" w14:textId="0402A4FB" w:rsidR="00C8633C" w:rsidRDefault="00C8633C" w:rsidP="00C8633C">
      <w:r>
        <w:t>What stands out from this question is that members underscored that technical training is in fact important to them, even if they don’t see it as core to the Media Consortium’s mission or purpose. This indicates that many members require this kind of training, and might suggest the Media Consortium partner with other associations or organizations that can provide it for members.</w:t>
      </w:r>
    </w:p>
    <w:p w14:paraId="747FE9E7" w14:textId="77777777" w:rsidR="00C8633C" w:rsidRDefault="00C8633C" w:rsidP="00C8633C"/>
    <w:p w14:paraId="4867CEE9" w14:textId="77777777" w:rsidR="00C8633C" w:rsidRDefault="00C8633C" w:rsidP="00C8633C"/>
    <w:p w14:paraId="7F6606A4" w14:textId="77777777" w:rsidR="00C8633C" w:rsidRDefault="00C8633C" w:rsidP="008C1190">
      <w:pPr>
        <w:ind w:left="720" w:hanging="720"/>
      </w:pPr>
    </w:p>
    <w:p w14:paraId="6CA182BF" w14:textId="44C81BEB" w:rsidR="00EF7725" w:rsidRPr="00EF7725" w:rsidRDefault="00EF7725" w:rsidP="00EF7725">
      <w:pPr>
        <w:rPr>
          <w:b/>
        </w:rPr>
      </w:pPr>
    </w:p>
    <w:sectPr w:rsidR="00EF7725" w:rsidRPr="00EF772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419"/>
    <w:multiLevelType w:val="hybridMultilevel"/>
    <w:tmpl w:val="0D8E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05FF2"/>
    <w:multiLevelType w:val="hybridMultilevel"/>
    <w:tmpl w:val="444EB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2017DC4"/>
    <w:multiLevelType w:val="hybridMultilevel"/>
    <w:tmpl w:val="2A7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26D14"/>
    <w:multiLevelType w:val="hybridMultilevel"/>
    <w:tmpl w:val="BA8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C7198"/>
    <w:multiLevelType w:val="hybridMultilevel"/>
    <w:tmpl w:val="66D0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01ECA"/>
    <w:multiLevelType w:val="hybridMultilevel"/>
    <w:tmpl w:val="DB2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9718DB"/>
    <w:multiLevelType w:val="hybridMultilevel"/>
    <w:tmpl w:val="6B5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B4"/>
    <w:rsid w:val="000E409E"/>
    <w:rsid w:val="00281D6F"/>
    <w:rsid w:val="00292577"/>
    <w:rsid w:val="002F4B4D"/>
    <w:rsid w:val="00321F5C"/>
    <w:rsid w:val="003414AE"/>
    <w:rsid w:val="00641D22"/>
    <w:rsid w:val="00655757"/>
    <w:rsid w:val="007201CF"/>
    <w:rsid w:val="00750173"/>
    <w:rsid w:val="0081075B"/>
    <w:rsid w:val="00827D71"/>
    <w:rsid w:val="00887561"/>
    <w:rsid w:val="008C1190"/>
    <w:rsid w:val="0092083E"/>
    <w:rsid w:val="00AA3D97"/>
    <w:rsid w:val="00AB1623"/>
    <w:rsid w:val="00AD1990"/>
    <w:rsid w:val="00B6189F"/>
    <w:rsid w:val="00B97977"/>
    <w:rsid w:val="00C8633C"/>
    <w:rsid w:val="00CB402C"/>
    <w:rsid w:val="00D93CAE"/>
    <w:rsid w:val="00DD153A"/>
    <w:rsid w:val="00E278B4"/>
    <w:rsid w:val="00E751B3"/>
    <w:rsid w:val="00EF7725"/>
    <w:rsid w:val="00F9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2A0D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8B4"/>
    <w:pPr>
      <w:ind w:left="720"/>
      <w:contextualSpacing/>
    </w:pPr>
  </w:style>
  <w:style w:type="paragraph" w:styleId="BalloonText">
    <w:name w:val="Balloon Text"/>
    <w:basedOn w:val="Normal"/>
    <w:link w:val="BalloonTextChar"/>
    <w:uiPriority w:val="99"/>
    <w:semiHidden/>
    <w:unhideWhenUsed/>
    <w:rsid w:val="00D93CAE"/>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CAE"/>
    <w:rPr>
      <w:rFonts w:ascii="Lucida Grande" w:hAnsi="Lucida Grande"/>
      <w:sz w:val="18"/>
      <w:szCs w:val="18"/>
    </w:rPr>
  </w:style>
  <w:style w:type="table" w:styleId="TableGrid">
    <w:name w:val="Table Grid"/>
    <w:basedOn w:val="TableNormal"/>
    <w:uiPriority w:val="59"/>
    <w:rsid w:val="002F4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8B4"/>
    <w:pPr>
      <w:ind w:left="720"/>
      <w:contextualSpacing/>
    </w:pPr>
  </w:style>
  <w:style w:type="paragraph" w:styleId="BalloonText">
    <w:name w:val="Balloon Text"/>
    <w:basedOn w:val="Normal"/>
    <w:link w:val="BalloonTextChar"/>
    <w:uiPriority w:val="99"/>
    <w:semiHidden/>
    <w:unhideWhenUsed/>
    <w:rsid w:val="00D93CAE"/>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CAE"/>
    <w:rPr>
      <w:rFonts w:ascii="Lucida Grande" w:hAnsi="Lucida Grande"/>
      <w:sz w:val="18"/>
      <w:szCs w:val="18"/>
    </w:rPr>
  </w:style>
  <w:style w:type="table" w:styleId="TableGrid">
    <w:name w:val="Table Grid"/>
    <w:basedOn w:val="TableNormal"/>
    <w:uiPriority w:val="59"/>
    <w:rsid w:val="002F4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gkaiser:Dropbox:TMC:Coordinating%20Committee:Strategic%20Plan%202014:Surveys:Initial%20Dec%202013%20Survey%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0"/>
              <c:layout/>
              <c:tx>
                <c:rich>
                  <a:bodyPr/>
                  <a:lstStyle/>
                  <a:p>
                    <a:r>
                      <a:rPr lang="en-US"/>
                      <a:t>Current</a:t>
                    </a:r>
                    <a:r>
                      <a:rPr lang="en-US" baseline="0"/>
                      <a:t> TMC</a:t>
                    </a:r>
                    <a:endParaRPr lang="en-US"/>
                  </a:p>
                </c:rich>
              </c:tx>
              <c:showLegendKey val="0"/>
              <c:showVal val="1"/>
              <c:showCatName val="0"/>
              <c:showSerName val="1"/>
              <c:showPercent val="0"/>
              <c:showBubbleSize val="0"/>
            </c:dLbl>
            <c:dLbl>
              <c:idx val="1"/>
              <c:layout/>
              <c:tx>
                <c:rich>
                  <a:bodyPr/>
                  <a:lstStyle/>
                  <a:p>
                    <a:r>
                      <a:rPr lang="en-US"/>
                      <a:t>Former</a:t>
                    </a:r>
                    <a:r>
                      <a:rPr lang="en-US" baseline="0"/>
                      <a:t> TMC</a:t>
                    </a:r>
                    <a:endParaRPr lang="en-US"/>
                  </a:p>
                </c:rich>
              </c:tx>
              <c:showLegendKey val="0"/>
              <c:showVal val="1"/>
              <c:showCatName val="0"/>
              <c:showSerName val="1"/>
              <c:showPercent val="0"/>
              <c:showBubbleSize val="0"/>
            </c:dLbl>
            <c:dLbl>
              <c:idx val="2"/>
              <c:layout/>
              <c:tx>
                <c:rich>
                  <a:bodyPr/>
                  <a:lstStyle/>
                  <a:p>
                    <a:r>
                      <a:rPr lang="en-US"/>
                      <a:t>Funders</a:t>
                    </a:r>
                  </a:p>
                </c:rich>
              </c:tx>
              <c:showLegendKey val="0"/>
              <c:showVal val="1"/>
              <c:showCatName val="0"/>
              <c:showSerName val="1"/>
              <c:showPercent val="0"/>
              <c:showBubbleSize val="0"/>
            </c:dLbl>
            <c:dLbl>
              <c:idx val="3"/>
              <c:layout/>
              <c:tx>
                <c:rich>
                  <a:bodyPr/>
                  <a:lstStyle/>
                  <a:p>
                    <a:r>
                      <a:rPr lang="en-US"/>
                      <a:t>Allies</a:t>
                    </a:r>
                  </a:p>
                </c:rich>
              </c:tx>
              <c:showLegendKey val="0"/>
              <c:showVal val="1"/>
              <c:showCatName val="0"/>
              <c:showSerName val="1"/>
              <c:showPercent val="0"/>
              <c:showBubbleSize val="0"/>
            </c:dLbl>
            <c:showLegendKey val="0"/>
            <c:showVal val="1"/>
            <c:showCatName val="0"/>
            <c:showSerName val="1"/>
            <c:showPercent val="0"/>
            <c:showBubbleSize val="0"/>
            <c:showLeaderLines val="1"/>
          </c:dLbls>
          <c:val>
            <c:numRef>
              <c:f>Sheet1!$F$10:$I$10</c:f>
              <c:numCache>
                <c:formatCode>General</c:formatCode>
                <c:ptCount val="4"/>
                <c:pt idx="0">
                  <c:v>54.0</c:v>
                </c:pt>
                <c:pt idx="1">
                  <c:v>5.0</c:v>
                </c:pt>
                <c:pt idx="2">
                  <c:v>3.0</c:v>
                </c:pt>
                <c:pt idx="3">
                  <c:v>3.0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846</Words>
  <Characters>4826</Characters>
  <Application>Microsoft Macintosh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2014-02-12T23:23:00Z</dcterms:created>
  <dcterms:modified xsi:type="dcterms:W3CDTF">2014-02-13T00:30:00Z</dcterms:modified>
</cp:coreProperties>
</file>